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5244" w:rsidRPr="00E42755" w:rsidRDefault="008A5244" w:rsidP="008A5244">
      <w:pPr>
        <w:widowControl w:val="0"/>
        <w:spacing w:before="100" w:beforeAutospacing="1" w:after="100" w:afterAutospacing="1" w:line="360" w:lineRule="auto"/>
        <w:ind w:right="-164"/>
        <w:jc w:val="both"/>
        <w:rPr>
          <w:rFonts w:ascii="Palatino Linotype" w:eastAsia="Calibri" w:hAnsi="Palatino Linotype" w:cs="Arial"/>
          <w:b/>
          <w:color w:val="000000"/>
        </w:rPr>
      </w:pPr>
      <w:r w:rsidRPr="0007653D">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Pr>
          <w:rFonts w:ascii="Palatino Linotype" w:hAnsi="Palatino Linotype" w:cs="Arial"/>
          <w:b/>
        </w:rPr>
        <w:t xml:space="preserve">CUADRAGÉSIMA SEGUNDA </w:t>
      </w:r>
      <w:r w:rsidRPr="0007653D">
        <w:rPr>
          <w:rFonts w:ascii="Palatino Linotype" w:hAnsi="Palatino Linotype" w:cs="Arial"/>
          <w:b/>
        </w:rPr>
        <w:t xml:space="preserve">SESIÓN ORDINARIA DE </w:t>
      </w:r>
      <w:r>
        <w:rPr>
          <w:rFonts w:ascii="Palatino Linotype" w:hAnsi="Palatino Linotype" w:cs="Arial"/>
          <w:b/>
        </w:rPr>
        <w:t>CATORCE DE NOVIEMBRE DE DOS MIL DIECIOCHO</w:t>
      </w:r>
      <w:r w:rsidRPr="0007653D">
        <w:rPr>
          <w:rFonts w:ascii="Palatino Linotype" w:hAnsi="Palatino Linotype" w:cs="Arial"/>
          <w:b/>
        </w:rPr>
        <w:t xml:space="preserve">, EN </w:t>
      </w:r>
      <w:r w:rsidR="005A2184">
        <w:rPr>
          <w:rFonts w:ascii="Palatino Linotype" w:hAnsi="Palatino Linotype" w:cs="Arial"/>
          <w:b/>
        </w:rPr>
        <w:t xml:space="preserve">LOS </w:t>
      </w:r>
      <w:r w:rsidRPr="0007653D">
        <w:rPr>
          <w:rFonts w:ascii="Palatino Linotype" w:hAnsi="Palatino Linotype" w:cs="Arial"/>
          <w:b/>
        </w:rPr>
        <w:t>RECURSO</w:t>
      </w:r>
      <w:r w:rsidR="005A2184">
        <w:rPr>
          <w:rFonts w:ascii="Palatino Linotype" w:hAnsi="Palatino Linotype" w:cs="Arial"/>
          <w:b/>
        </w:rPr>
        <w:t>S</w:t>
      </w:r>
      <w:r w:rsidR="000F6CCA">
        <w:rPr>
          <w:rFonts w:ascii="Palatino Linotype" w:hAnsi="Palatino Linotype" w:cs="Arial"/>
          <w:b/>
        </w:rPr>
        <w:t xml:space="preserve"> DE REVISIÓN</w:t>
      </w:r>
      <w:r w:rsidR="005A2184">
        <w:rPr>
          <w:rFonts w:ascii="Palatino Linotype" w:hAnsi="Palatino Linotype" w:cs="Arial"/>
          <w:b/>
        </w:rPr>
        <w:t xml:space="preserve"> ACUMULADOS </w:t>
      </w:r>
      <w:r w:rsidR="005A2184" w:rsidRPr="00F80539">
        <w:rPr>
          <w:rFonts w:ascii="Palatino Linotype" w:hAnsi="Palatino Linotype" w:cs="Arial"/>
          <w:b/>
          <w:bCs/>
          <w:sz w:val="23"/>
          <w:szCs w:val="23"/>
        </w:rPr>
        <w:t>03324/INFOEM/IP/RR/2018, 03325/INFOEM/IP/RR/2018, 03326/INFOEM/IP/RR/2018, 03327/INFOEM/IP/RR/2018, 03328/INFOEM/IP/RR/2018, 03329/INFOEM/IP/RR/2018</w:t>
      </w:r>
      <w:r w:rsidR="005A2184" w:rsidRPr="00F80539">
        <w:rPr>
          <w:rFonts w:ascii="Palatino Linotype" w:hAnsi="Palatino Linotype" w:cs="Arial"/>
          <w:sz w:val="23"/>
          <w:szCs w:val="23"/>
        </w:rPr>
        <w:t xml:space="preserve">, </w:t>
      </w:r>
      <w:r w:rsidR="005A2184" w:rsidRPr="00F80539">
        <w:rPr>
          <w:rFonts w:ascii="Palatino Linotype" w:hAnsi="Palatino Linotype" w:cs="Arial"/>
          <w:b/>
          <w:bCs/>
          <w:sz w:val="23"/>
          <w:szCs w:val="23"/>
        </w:rPr>
        <w:t>03330/INFOEM/IP/RR/2018, 03331/INFOEM/IP/RR/2018, 03332/INFOEM/IP/RR/2018, 03333/INFOEM/IP/RR/2018, 03334/INFOEM/IP/RR/2018 Y 03335/INFOEM/IP/RR/2018</w:t>
      </w:r>
      <w:r w:rsidRPr="00E42755">
        <w:rPr>
          <w:rFonts w:ascii="Palatino Linotype" w:eastAsia="Calibri" w:hAnsi="Palatino Linotype" w:cs="Arial"/>
          <w:b/>
          <w:color w:val="000000"/>
        </w:rPr>
        <w:t>.</w:t>
      </w:r>
    </w:p>
    <w:p w:rsidR="008A5244" w:rsidRPr="00E42755" w:rsidRDefault="008A5244" w:rsidP="008A5244">
      <w:pPr>
        <w:spacing w:before="100" w:beforeAutospacing="1" w:after="100" w:afterAutospacing="1" w:line="360" w:lineRule="auto"/>
        <w:jc w:val="both"/>
        <w:rPr>
          <w:rFonts w:ascii="Palatino Linotype" w:hAnsi="Palatino Linotype" w:cs="Arial"/>
        </w:rPr>
      </w:pPr>
      <w:r w:rsidRPr="00E42755">
        <w:rPr>
          <w:rFonts w:ascii="Palatino Linotype" w:hAnsi="Palatino Linotype" w:cs="Arial"/>
        </w:rPr>
        <w:t xml:space="preserve">Con fundamento en lo dispuesto por </w:t>
      </w:r>
      <w:r>
        <w:rPr>
          <w:rFonts w:ascii="Palatino Linotype" w:hAnsi="Palatino Linotype" w:cs="Arial"/>
        </w:rPr>
        <w:t>el</w:t>
      </w:r>
      <w:r w:rsidRPr="00E42755">
        <w:rPr>
          <w:rFonts w:ascii="Palatino Linotype" w:hAnsi="Palatino Linotype" w:cs="Arial"/>
        </w:rPr>
        <w:t xml:space="preserve"> artículo </w:t>
      </w:r>
      <w:r>
        <w:rPr>
          <w:rFonts w:ascii="Palatino Linotype" w:hAnsi="Palatino Linotype" w:cs="Arial"/>
        </w:rPr>
        <w:t>14,</w:t>
      </w:r>
      <w:r w:rsidRPr="00E42755">
        <w:rPr>
          <w:rFonts w:ascii="Palatino Linotype" w:hAnsi="Palatino Linotype" w:cs="Arial"/>
        </w:rPr>
        <w:t xml:space="preserve"> fracciones </w:t>
      </w:r>
      <w:r>
        <w:rPr>
          <w:rFonts w:ascii="Palatino Linotype" w:hAnsi="Palatino Linotype" w:cs="Arial"/>
        </w:rPr>
        <w:t xml:space="preserve">X y XI </w:t>
      </w:r>
      <w:r w:rsidRPr="00E42755">
        <w:rPr>
          <w:rFonts w:ascii="Palatino Linotype" w:hAnsi="Palatino Linotype" w:cs="Arial"/>
        </w:rPr>
        <w:t>del Reglamento Interior del Instituto de Transparencia, Acceso a la Información Pública y Protección de Datos Personales del Estado de México y Municipios, la que suscribe</w:t>
      </w:r>
      <w:r w:rsidRPr="00E42755">
        <w:rPr>
          <w:rFonts w:ascii="Palatino Linotype" w:hAnsi="Palatino Linotype" w:cs="Arial"/>
          <w:b/>
          <w:lang w:val="es-ES_tradnl"/>
        </w:rPr>
        <w:t xml:space="preserve"> </w:t>
      </w:r>
      <w:r w:rsidRPr="00E42755">
        <w:rPr>
          <w:rFonts w:ascii="Palatino Linotype" w:hAnsi="Palatino Linotype" w:cs="Arial"/>
          <w:b/>
        </w:rPr>
        <w:t xml:space="preserve">EVA ABAID YAPUR </w:t>
      </w:r>
      <w:r w:rsidRPr="00E42755">
        <w:rPr>
          <w:rFonts w:ascii="Palatino Linotype" w:hAnsi="Palatino Linotype" w:cs="Arial"/>
        </w:rPr>
        <w:t xml:space="preserve">emite </w:t>
      </w:r>
      <w:r w:rsidRPr="00E42755">
        <w:rPr>
          <w:rFonts w:ascii="Palatino Linotype" w:hAnsi="Palatino Linotype" w:cs="Arial"/>
          <w:b/>
        </w:rPr>
        <w:t xml:space="preserve">VOTO PARTICULAR </w:t>
      </w:r>
      <w:r w:rsidRPr="00E42755">
        <w:rPr>
          <w:rFonts w:ascii="Palatino Linotype" w:hAnsi="Palatino Linotype" w:cs="Arial"/>
        </w:rPr>
        <w:t>respect</w:t>
      </w:r>
      <w:r w:rsidR="005A2184">
        <w:rPr>
          <w:rFonts w:ascii="Palatino Linotype" w:hAnsi="Palatino Linotype" w:cs="Arial"/>
        </w:rPr>
        <w:t>o de la resolución dictada en los</w:t>
      </w:r>
      <w:r w:rsidRPr="00E42755">
        <w:rPr>
          <w:rFonts w:ascii="Palatino Linotype" w:hAnsi="Palatino Linotype" w:cs="Arial"/>
        </w:rPr>
        <w:t xml:space="preserve"> recurso</w:t>
      </w:r>
      <w:r w:rsidR="005A2184">
        <w:rPr>
          <w:rFonts w:ascii="Palatino Linotype" w:hAnsi="Palatino Linotype" w:cs="Arial"/>
        </w:rPr>
        <w:t>s</w:t>
      </w:r>
      <w:r w:rsidRPr="00E42755">
        <w:rPr>
          <w:rFonts w:ascii="Palatino Linotype" w:hAnsi="Palatino Linotype" w:cs="Arial"/>
        </w:rPr>
        <w:t xml:space="preserve"> </w:t>
      </w:r>
      <w:proofErr w:type="gramStart"/>
      <w:r w:rsidRPr="00E42755">
        <w:rPr>
          <w:rFonts w:ascii="Palatino Linotype" w:hAnsi="Palatino Linotype" w:cs="Arial"/>
        </w:rPr>
        <w:t>de</w:t>
      </w:r>
      <w:proofErr w:type="gramEnd"/>
      <w:r w:rsidRPr="00E42755">
        <w:rPr>
          <w:rFonts w:ascii="Palatino Linotype" w:hAnsi="Palatino Linotype" w:cs="Arial"/>
        </w:rPr>
        <w:t xml:space="preserve"> revisión</w:t>
      </w:r>
      <w:r w:rsidR="005A2184">
        <w:rPr>
          <w:rFonts w:ascii="Palatino Linotype" w:hAnsi="Palatino Linotype" w:cs="Arial"/>
        </w:rPr>
        <w:t xml:space="preserve"> acumulados, referidos en el párrafo anterior y</w:t>
      </w:r>
      <w:r w:rsidRPr="00E42755">
        <w:rPr>
          <w:rFonts w:ascii="Palatino Linotype" w:hAnsi="Palatino Linotype" w:cs="Arial"/>
        </w:rPr>
        <w:t xml:space="preserve"> pronunciada por el Pleno de este Instituto ante el proyecto presentado por </w:t>
      </w:r>
      <w:r>
        <w:rPr>
          <w:rFonts w:ascii="Palatino Linotype" w:hAnsi="Palatino Linotype" w:cs="Arial"/>
        </w:rPr>
        <w:t>el</w:t>
      </w:r>
      <w:r w:rsidRPr="00E42755">
        <w:rPr>
          <w:rFonts w:ascii="Palatino Linotype" w:hAnsi="Palatino Linotype" w:cs="Arial"/>
        </w:rPr>
        <w:t xml:space="preserve"> Comisionad</w:t>
      </w:r>
      <w:r>
        <w:rPr>
          <w:rFonts w:ascii="Palatino Linotype" w:hAnsi="Palatino Linotype" w:cs="Arial"/>
        </w:rPr>
        <w:t xml:space="preserve">o </w:t>
      </w:r>
      <w:r w:rsidRPr="003B7727">
        <w:rPr>
          <w:rFonts w:ascii="Palatino Linotype" w:hAnsi="Palatino Linotype" w:cs="Arial"/>
          <w:b/>
        </w:rPr>
        <w:t>J</w:t>
      </w:r>
      <w:r>
        <w:rPr>
          <w:rFonts w:ascii="Palatino Linotype" w:hAnsi="Palatino Linotype" w:cs="Arial"/>
          <w:b/>
        </w:rPr>
        <w:t>AVIER MARTÍNEZ CRUZ</w:t>
      </w:r>
      <w:r w:rsidRPr="0007653D">
        <w:rPr>
          <w:rFonts w:ascii="Palatino Linotype" w:hAnsi="Palatino Linotype" w:cs="Arial"/>
        </w:rPr>
        <w:t xml:space="preserve">, </w:t>
      </w:r>
      <w:r>
        <w:rPr>
          <w:rFonts w:ascii="Palatino Linotype" w:hAnsi="Palatino Linotype" w:cs="Arial"/>
        </w:rPr>
        <w:t>que es del tenor siguiente.</w:t>
      </w:r>
    </w:p>
    <w:p w:rsidR="008A5244" w:rsidRDefault="008A5244" w:rsidP="008A5244">
      <w:pPr>
        <w:spacing w:before="100" w:beforeAutospacing="1" w:after="100" w:afterAutospacing="1" w:line="360" w:lineRule="auto"/>
        <w:jc w:val="both"/>
        <w:rPr>
          <w:rFonts w:ascii="Palatino Linotype" w:hAnsi="Palatino Linotype"/>
        </w:rPr>
      </w:pPr>
      <w:r w:rsidRPr="00D93A88">
        <w:rPr>
          <w:rFonts w:ascii="Palatino Linotype" w:hAnsi="Palatino Linotype"/>
        </w:rPr>
        <w:t>Es de destacar,</w:t>
      </w:r>
      <w:r>
        <w:rPr>
          <w:rFonts w:ascii="Palatino Linotype" w:hAnsi="Palatino Linotype"/>
        </w:rPr>
        <w:t xml:space="preserve"> que la suscrita</w:t>
      </w:r>
      <w:r w:rsidRPr="00D93A88">
        <w:rPr>
          <w:rFonts w:ascii="Palatino Linotype" w:hAnsi="Palatino Linotype"/>
        </w:rPr>
        <w:t xml:space="preserve"> compart</w:t>
      </w:r>
      <w:r>
        <w:rPr>
          <w:rFonts w:ascii="Palatino Linotype" w:hAnsi="Palatino Linotype"/>
        </w:rPr>
        <w:t>e el sentido de la resolución de</w:t>
      </w:r>
      <w:r w:rsidR="005A2184">
        <w:rPr>
          <w:rFonts w:ascii="Palatino Linotype" w:hAnsi="Palatino Linotype"/>
        </w:rPr>
        <w:t xml:space="preserve"> </w:t>
      </w:r>
      <w:r>
        <w:rPr>
          <w:rFonts w:ascii="Palatino Linotype" w:hAnsi="Palatino Linotype"/>
        </w:rPr>
        <w:t>l</w:t>
      </w:r>
      <w:r w:rsidR="005A2184">
        <w:rPr>
          <w:rFonts w:ascii="Palatino Linotype" w:hAnsi="Palatino Linotype"/>
        </w:rPr>
        <w:t>os</w:t>
      </w:r>
      <w:r>
        <w:rPr>
          <w:rFonts w:ascii="Palatino Linotype" w:hAnsi="Palatino Linotype"/>
        </w:rPr>
        <w:t xml:space="preserve"> </w:t>
      </w:r>
      <w:r w:rsidRPr="00D93A88">
        <w:rPr>
          <w:rFonts w:ascii="Palatino Linotype" w:hAnsi="Palatino Linotype"/>
        </w:rPr>
        <w:t>recurso</w:t>
      </w:r>
      <w:r w:rsidR="005A2184">
        <w:rPr>
          <w:rFonts w:ascii="Palatino Linotype" w:hAnsi="Palatino Linotype"/>
        </w:rPr>
        <w:t>s</w:t>
      </w:r>
      <w:r w:rsidRPr="00D93A88">
        <w:rPr>
          <w:rFonts w:ascii="Palatino Linotype" w:hAnsi="Palatino Linotype"/>
        </w:rPr>
        <w:t xml:space="preserve"> de revis</w:t>
      </w:r>
      <w:r>
        <w:rPr>
          <w:rFonts w:ascii="Palatino Linotype" w:hAnsi="Palatino Linotype"/>
        </w:rPr>
        <w:t>ión; empero, estimo</w:t>
      </w:r>
      <w:r w:rsidRPr="00D93A88">
        <w:rPr>
          <w:rFonts w:ascii="Palatino Linotype" w:hAnsi="Palatino Linotype"/>
        </w:rPr>
        <w:t xml:space="preserve"> necesario precisar algunas consideraciones de hecho y de derecho</w:t>
      </w:r>
      <w:r>
        <w:rPr>
          <w:rFonts w:ascii="Palatino Linotype" w:hAnsi="Palatino Linotype"/>
        </w:rPr>
        <w:t xml:space="preserve">, tocante a parte de la información de la que se ordena la entrega, así como a </w:t>
      </w:r>
      <w:r w:rsidR="00D62376">
        <w:rPr>
          <w:rFonts w:ascii="Palatino Linotype" w:hAnsi="Palatino Linotype"/>
        </w:rPr>
        <w:lastRenderedPageBreak/>
        <w:t>que se señalara</w:t>
      </w:r>
      <w:r>
        <w:rPr>
          <w:rFonts w:ascii="Palatino Linotype" w:hAnsi="Palatino Linotype"/>
        </w:rPr>
        <w:t xml:space="preserve"> en el Resolutivo Cuarto los artículos 159 y 160 de la Ley General de Transparencia y Acceso a Información Pública.</w:t>
      </w:r>
    </w:p>
    <w:p w:rsidR="008A5244" w:rsidRDefault="008A5244" w:rsidP="008A5244">
      <w:pPr>
        <w:spacing w:before="100" w:beforeAutospacing="1" w:after="100" w:afterAutospacing="1" w:line="360" w:lineRule="auto"/>
        <w:jc w:val="both"/>
        <w:rPr>
          <w:rFonts w:ascii="Palatino Linotype" w:hAnsi="Palatino Linotype" w:cs="Arial"/>
        </w:rPr>
      </w:pPr>
      <w:r>
        <w:rPr>
          <w:rFonts w:ascii="Palatino Linotype" w:hAnsi="Palatino Linotype"/>
        </w:rPr>
        <w:t>Al respecto, t</w:t>
      </w:r>
      <w:r w:rsidRPr="00D93A88">
        <w:rPr>
          <w:rFonts w:ascii="Palatino Linotype" w:hAnsi="Palatino Linotype"/>
        </w:rPr>
        <w:t>al y como quedó debidamente asentado en la resoluci</w:t>
      </w:r>
      <w:r>
        <w:rPr>
          <w:rFonts w:ascii="Palatino Linotype" w:hAnsi="Palatino Linotype"/>
        </w:rPr>
        <w:t>ón materia del presente voto, la</w:t>
      </w:r>
      <w:r w:rsidRPr="00D93A88">
        <w:rPr>
          <w:rFonts w:ascii="Palatino Linotype" w:hAnsi="Palatino Linotype"/>
        </w:rPr>
        <w:t xml:space="preserve"> particular </w:t>
      </w:r>
      <w:r>
        <w:rPr>
          <w:rFonts w:ascii="Palatino Linotype" w:hAnsi="Palatino Linotype"/>
        </w:rPr>
        <w:t xml:space="preserve">requirió de la </w:t>
      </w:r>
      <w:r>
        <w:rPr>
          <w:rFonts w:ascii="Palatino Linotype" w:hAnsi="Palatino Linotype"/>
          <w:b/>
        </w:rPr>
        <w:t>Universidad Politécnica del Valle de México,</w:t>
      </w:r>
      <w:r>
        <w:rPr>
          <w:rFonts w:ascii="Palatino Linotype" w:hAnsi="Palatino Linotype" w:cs="Arial"/>
        </w:rPr>
        <w:t xml:space="preserve"> en lo sucesivo </w:t>
      </w:r>
      <w:r>
        <w:rPr>
          <w:rFonts w:ascii="Palatino Linotype" w:hAnsi="Palatino Linotype"/>
          <w:b/>
        </w:rPr>
        <w:t>EL S</w:t>
      </w:r>
      <w:r w:rsidRPr="008C0700">
        <w:rPr>
          <w:rFonts w:ascii="Palatino Linotype" w:hAnsi="Palatino Linotype"/>
          <w:b/>
        </w:rPr>
        <w:t>UJETO OBLIGADO</w:t>
      </w:r>
      <w:r>
        <w:rPr>
          <w:rFonts w:ascii="Palatino Linotype" w:hAnsi="Palatino Linotype"/>
          <w:b/>
        </w:rPr>
        <w:t>,</w:t>
      </w:r>
      <w:r>
        <w:rPr>
          <w:rFonts w:ascii="Palatino Linotype" w:hAnsi="Palatino Linotype"/>
        </w:rPr>
        <w:t xml:space="preserve"> </w:t>
      </w:r>
      <w:r>
        <w:rPr>
          <w:rFonts w:ascii="Palatino Linotype" w:hAnsi="Palatino Linotype" w:cs="Arial"/>
        </w:rPr>
        <w:t>de</w:t>
      </w:r>
      <w:r w:rsidRPr="001B7CCE">
        <w:rPr>
          <w:rFonts w:ascii="Palatino Linotype" w:hAnsi="Palatino Linotype" w:cs="Arial"/>
        </w:rPr>
        <w:t xml:space="preserve"> los años 2006 a</w:t>
      </w:r>
      <w:r>
        <w:rPr>
          <w:rFonts w:ascii="Palatino Linotype" w:hAnsi="Palatino Linotype" w:cs="Arial"/>
        </w:rPr>
        <w:t>l 13 de agosto de</w:t>
      </w:r>
      <w:r w:rsidRPr="001B7CCE">
        <w:rPr>
          <w:rFonts w:ascii="Palatino Linotype" w:hAnsi="Palatino Linotype" w:cs="Arial"/>
        </w:rPr>
        <w:t xml:space="preserve"> 2018</w:t>
      </w:r>
      <w:r>
        <w:rPr>
          <w:rFonts w:ascii="Palatino Linotype" w:hAnsi="Palatino Linotype" w:cs="Arial"/>
        </w:rPr>
        <w:t>, la información que a co</w:t>
      </w:r>
      <w:r w:rsidR="00682DDE">
        <w:rPr>
          <w:rFonts w:ascii="Palatino Linotype" w:hAnsi="Palatino Linotype" w:cs="Arial"/>
        </w:rPr>
        <w:t>ntinuación se desagrega:</w:t>
      </w:r>
    </w:p>
    <w:p w:rsidR="00682DDE" w:rsidRPr="001B7CCE" w:rsidRDefault="00682DDE" w:rsidP="002A138F">
      <w:pPr>
        <w:pStyle w:val="paragraph"/>
        <w:numPr>
          <w:ilvl w:val="0"/>
          <w:numId w:val="2"/>
        </w:numPr>
        <w:ind w:left="851" w:right="902" w:hanging="284"/>
        <w:jc w:val="both"/>
        <w:textAlignment w:val="baseline"/>
        <w:rPr>
          <w:rFonts w:ascii="Palatino Linotype" w:hAnsi="Palatino Linotype" w:cs="Arial"/>
        </w:rPr>
      </w:pPr>
      <w:r>
        <w:rPr>
          <w:rFonts w:ascii="Palatino Linotype" w:hAnsi="Palatino Linotype" w:cs="Arial"/>
        </w:rPr>
        <w:t xml:space="preserve">Matrículas y números de empleados que fueron </w:t>
      </w:r>
      <w:proofErr w:type="spellStart"/>
      <w:r>
        <w:rPr>
          <w:rFonts w:ascii="Palatino Linotype" w:hAnsi="Palatino Linotype" w:cs="Arial"/>
        </w:rPr>
        <w:t>credencializados</w:t>
      </w:r>
      <w:proofErr w:type="spellEnd"/>
      <w:r>
        <w:rPr>
          <w:rFonts w:ascii="Palatino Linotype" w:hAnsi="Palatino Linotype" w:cs="Arial"/>
        </w:rPr>
        <w:t xml:space="preserve"> por año.</w:t>
      </w:r>
    </w:p>
    <w:p w:rsidR="00682DDE" w:rsidRDefault="00682DDE" w:rsidP="002A138F">
      <w:pPr>
        <w:pStyle w:val="paragraph"/>
        <w:numPr>
          <w:ilvl w:val="0"/>
          <w:numId w:val="2"/>
        </w:numPr>
        <w:ind w:left="851" w:right="902" w:hanging="284"/>
        <w:jc w:val="both"/>
        <w:textAlignment w:val="baseline"/>
        <w:rPr>
          <w:rFonts w:ascii="Palatino Linotype" w:hAnsi="Palatino Linotype" w:cs="Arial"/>
        </w:rPr>
      </w:pPr>
      <w:r>
        <w:rPr>
          <w:rFonts w:ascii="Palatino Linotype" w:hAnsi="Palatino Linotype" w:cs="Arial"/>
        </w:rPr>
        <w:t>Nombre de programa educativo al que pertenecen o pertenecían</w:t>
      </w:r>
      <w:r w:rsidRPr="001B7CCE">
        <w:rPr>
          <w:rFonts w:ascii="Palatino Linotype" w:hAnsi="Palatino Linotype" w:cs="Arial"/>
        </w:rPr>
        <w:t>.</w:t>
      </w:r>
    </w:p>
    <w:p w:rsidR="00682DDE" w:rsidRPr="001B7CCE" w:rsidRDefault="00682DDE" w:rsidP="002A138F">
      <w:pPr>
        <w:pStyle w:val="paragraph"/>
        <w:numPr>
          <w:ilvl w:val="0"/>
          <w:numId w:val="2"/>
        </w:numPr>
        <w:ind w:left="851" w:right="902" w:hanging="284"/>
        <w:jc w:val="both"/>
        <w:textAlignment w:val="baseline"/>
        <w:rPr>
          <w:rFonts w:ascii="Palatino Linotype" w:hAnsi="Palatino Linotype" w:cs="Arial"/>
        </w:rPr>
      </w:pPr>
      <w:r>
        <w:rPr>
          <w:rFonts w:ascii="Palatino Linotype" w:hAnsi="Palatino Linotype" w:cs="Arial"/>
        </w:rPr>
        <w:t>Área a la que pertenecen o pertenecían</w:t>
      </w:r>
    </w:p>
    <w:p w:rsidR="00682DDE" w:rsidRDefault="00682DDE" w:rsidP="002A138F">
      <w:pPr>
        <w:pStyle w:val="paragraph"/>
        <w:numPr>
          <w:ilvl w:val="0"/>
          <w:numId w:val="2"/>
        </w:numPr>
        <w:ind w:left="851" w:right="902" w:hanging="284"/>
        <w:jc w:val="both"/>
        <w:textAlignment w:val="baseline"/>
        <w:rPr>
          <w:rFonts w:ascii="Palatino Linotype" w:hAnsi="Palatino Linotype" w:cs="Arial"/>
        </w:rPr>
      </w:pPr>
      <w:r>
        <w:rPr>
          <w:rFonts w:ascii="Palatino Linotype" w:hAnsi="Palatino Linotype" w:cs="Arial"/>
        </w:rPr>
        <w:t>Nombre del proveedor del servicio.</w:t>
      </w:r>
    </w:p>
    <w:p w:rsidR="00682DDE" w:rsidRPr="001B7CCE" w:rsidRDefault="00682DDE" w:rsidP="002A138F">
      <w:pPr>
        <w:pStyle w:val="paragraph"/>
        <w:numPr>
          <w:ilvl w:val="0"/>
          <w:numId w:val="2"/>
        </w:numPr>
        <w:ind w:left="851" w:right="902" w:hanging="284"/>
        <w:jc w:val="both"/>
        <w:textAlignment w:val="baseline"/>
        <w:rPr>
          <w:rFonts w:ascii="Palatino Linotype" w:hAnsi="Palatino Linotype" w:cs="Arial"/>
        </w:rPr>
      </w:pPr>
      <w:r>
        <w:rPr>
          <w:rFonts w:ascii="Palatino Linotype" w:hAnsi="Palatino Linotype" w:cs="Arial"/>
        </w:rPr>
        <w:t>Facturas de los pagos correspondientes</w:t>
      </w:r>
      <w:r w:rsidRPr="001B7CCE">
        <w:rPr>
          <w:rFonts w:ascii="Palatino Linotype" w:hAnsi="Palatino Linotype" w:cs="Arial"/>
        </w:rPr>
        <w:t>.</w:t>
      </w:r>
    </w:p>
    <w:p w:rsidR="005A2184" w:rsidRDefault="00434433" w:rsidP="000D527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Del expediente electrónico del </w:t>
      </w:r>
      <w:r w:rsidRPr="00D87598">
        <w:rPr>
          <w:rFonts w:ascii="Palatino Linotype" w:hAnsi="Palatino Linotype" w:cs="Arial"/>
        </w:rPr>
        <w:t>Sistema de Acceso a la Información Mexiquens</w:t>
      </w:r>
      <w:r>
        <w:rPr>
          <w:rFonts w:ascii="Palatino Linotype" w:hAnsi="Palatino Linotype" w:cs="Arial"/>
        </w:rPr>
        <w:t xml:space="preserve">e, </w:t>
      </w:r>
      <w:r w:rsidRPr="00674996">
        <w:rPr>
          <w:rFonts w:ascii="Palatino Linotype" w:hAnsi="Palatino Linotype" w:cs="Arial"/>
          <w:b/>
        </w:rPr>
        <w:t>SAIMEX</w:t>
      </w:r>
      <w:r>
        <w:rPr>
          <w:rFonts w:ascii="Palatino Linotype" w:hAnsi="Palatino Linotype" w:cs="Arial"/>
          <w:b/>
        </w:rPr>
        <w:t xml:space="preserve">, </w:t>
      </w:r>
      <w:r>
        <w:rPr>
          <w:rFonts w:ascii="Palatino Linotype" w:hAnsi="Palatino Linotype" w:cs="Arial"/>
        </w:rPr>
        <w:t xml:space="preserve">se advierte que </w:t>
      </w:r>
      <w:r w:rsidRPr="00B57FE6">
        <w:rPr>
          <w:rFonts w:ascii="Palatino Linotype" w:hAnsi="Palatino Linotype" w:cs="Arial"/>
          <w:b/>
        </w:rPr>
        <w:t>EL SUJETO OBLIGADO</w:t>
      </w:r>
      <w:r w:rsidRPr="00AD7F4F">
        <w:rPr>
          <w:rFonts w:ascii="Palatino Linotype" w:hAnsi="Palatino Linotype" w:cs="Arial"/>
        </w:rPr>
        <w:t xml:space="preserve">, </w:t>
      </w:r>
      <w:r w:rsidR="000D5276">
        <w:rPr>
          <w:rFonts w:ascii="Palatino Linotype" w:hAnsi="Palatino Linotype" w:cs="Arial"/>
        </w:rPr>
        <w:t xml:space="preserve">en sus respuestas manifestó que no contaba con la información referente a facturas </w:t>
      </w:r>
      <w:r w:rsidR="000D5276" w:rsidRPr="007A175D">
        <w:rPr>
          <w:rFonts w:ascii="Palatino Linotype" w:hAnsi="Palatino Linotype" w:cs="Arial"/>
        </w:rPr>
        <w:t>por concepto de pago de tarjetas de PVC o credenciales de los ejercicios 2007 a 2010</w:t>
      </w:r>
      <w:r w:rsidR="000D5276">
        <w:rPr>
          <w:rFonts w:ascii="Palatino Linotype" w:hAnsi="Palatino Linotype" w:cs="Arial"/>
        </w:rPr>
        <w:t xml:space="preserve">, así como que, no contaba con información referente a las matrículas por no corresponder a sus atribuciones, </w:t>
      </w:r>
      <w:r w:rsidR="005A2184">
        <w:rPr>
          <w:rFonts w:ascii="Palatino Linotype" w:hAnsi="Palatino Linotype" w:cs="Arial"/>
        </w:rPr>
        <w:t>además indic</w:t>
      </w:r>
      <w:r w:rsidR="000D5276">
        <w:rPr>
          <w:rFonts w:ascii="Palatino Linotype" w:hAnsi="Palatino Linotype" w:cs="Arial"/>
        </w:rPr>
        <w:t>ó</w:t>
      </w:r>
      <w:r w:rsidR="005A2184">
        <w:rPr>
          <w:rFonts w:ascii="Palatino Linotype" w:hAnsi="Palatino Linotype" w:cs="Arial"/>
        </w:rPr>
        <w:t xml:space="preserve"> que en </w:t>
      </w:r>
      <w:r w:rsidR="000D5276">
        <w:rPr>
          <w:rFonts w:ascii="Palatino Linotype" w:hAnsi="Palatino Linotype" w:cs="Arial"/>
        </w:rPr>
        <w:t>relación al documento donde conste</w:t>
      </w:r>
      <w:r w:rsidR="005A2184">
        <w:rPr>
          <w:rFonts w:ascii="Palatino Linotype" w:hAnsi="Palatino Linotype" w:cs="Arial"/>
        </w:rPr>
        <w:t xml:space="preserve"> el número de empleados que fueron </w:t>
      </w:r>
      <w:proofErr w:type="spellStart"/>
      <w:r w:rsidR="005A2184">
        <w:rPr>
          <w:rFonts w:ascii="Palatino Linotype" w:hAnsi="Palatino Linotype" w:cs="Arial"/>
        </w:rPr>
        <w:t>credencializados</w:t>
      </w:r>
      <w:proofErr w:type="spellEnd"/>
      <w:r w:rsidR="005A2184">
        <w:rPr>
          <w:rFonts w:ascii="Palatino Linotype" w:hAnsi="Palatino Linotype" w:cs="Arial"/>
        </w:rPr>
        <w:t xml:space="preserve"> no </w:t>
      </w:r>
      <w:r>
        <w:rPr>
          <w:rFonts w:ascii="Palatino Linotype" w:hAnsi="Palatino Linotype" w:cs="Arial"/>
        </w:rPr>
        <w:t>contaba</w:t>
      </w:r>
      <w:r w:rsidR="005A2184">
        <w:rPr>
          <w:rFonts w:ascii="Palatino Linotype" w:hAnsi="Palatino Linotype" w:cs="Arial"/>
        </w:rPr>
        <w:t xml:space="preserve"> con información de los años 2006 a </w:t>
      </w:r>
      <w:r w:rsidR="000D5276">
        <w:rPr>
          <w:rFonts w:ascii="Palatino Linotype" w:hAnsi="Palatino Linotype" w:cs="Arial"/>
        </w:rPr>
        <w:t>2017, empero del año 2018 remitió información del</w:t>
      </w:r>
      <w:r w:rsidR="005A2184">
        <w:rPr>
          <w:rFonts w:ascii="Palatino Linotype" w:hAnsi="Palatino Linotype" w:cs="Arial"/>
        </w:rPr>
        <w:t xml:space="preserve"> </w:t>
      </w:r>
      <w:r w:rsidR="005A2184" w:rsidRPr="000D5276">
        <w:rPr>
          <w:rFonts w:ascii="Palatino Linotype" w:hAnsi="Palatino Linotype" w:cs="Arial"/>
        </w:rPr>
        <w:t>mes de abril al 13 de agosto de 2018 del personal docente y admini</w:t>
      </w:r>
      <w:r w:rsidR="00D62376">
        <w:rPr>
          <w:rFonts w:ascii="Palatino Linotype" w:hAnsi="Palatino Linotype" w:cs="Arial"/>
        </w:rPr>
        <w:t xml:space="preserve">strativo </w:t>
      </w:r>
      <w:proofErr w:type="spellStart"/>
      <w:r w:rsidR="00D62376">
        <w:rPr>
          <w:rFonts w:ascii="Palatino Linotype" w:hAnsi="Palatino Linotype" w:cs="Arial"/>
        </w:rPr>
        <w:t>credencializado</w:t>
      </w:r>
      <w:proofErr w:type="spellEnd"/>
      <w:r w:rsidR="00D62376">
        <w:rPr>
          <w:rFonts w:ascii="Palatino Linotype" w:hAnsi="Palatino Linotype" w:cs="Arial"/>
        </w:rPr>
        <w:t>;</w:t>
      </w:r>
      <w:r w:rsidR="005A2184" w:rsidRPr="000D5276">
        <w:rPr>
          <w:rFonts w:ascii="Palatino Linotype" w:hAnsi="Palatino Linotype" w:cs="Arial"/>
        </w:rPr>
        <w:t xml:space="preserve"> asimismo</w:t>
      </w:r>
      <w:r w:rsidR="00D62376">
        <w:rPr>
          <w:rFonts w:ascii="Palatino Linotype" w:hAnsi="Palatino Linotype" w:cs="Arial"/>
        </w:rPr>
        <w:t xml:space="preserve">, </w:t>
      </w:r>
      <w:r w:rsidR="005A2184">
        <w:rPr>
          <w:rFonts w:ascii="Palatino Linotype" w:hAnsi="Palatino Linotype" w:cs="Arial"/>
        </w:rPr>
        <w:t xml:space="preserve"> </w:t>
      </w:r>
      <w:r w:rsidR="000D5276">
        <w:rPr>
          <w:rFonts w:ascii="Palatino Linotype" w:hAnsi="Palatino Linotype" w:cs="Arial"/>
        </w:rPr>
        <w:t xml:space="preserve">adjuntó </w:t>
      </w:r>
      <w:r w:rsidR="005A2184">
        <w:rPr>
          <w:rFonts w:ascii="Palatino Linotype" w:hAnsi="Palatino Linotype" w:cs="Arial"/>
        </w:rPr>
        <w:t xml:space="preserve">una tabla con el nombre de </w:t>
      </w:r>
      <w:r w:rsidR="000D5276">
        <w:rPr>
          <w:rFonts w:ascii="Palatino Linotype" w:hAnsi="Palatino Linotype" w:cs="Arial"/>
        </w:rPr>
        <w:t>los proveedores de los</w:t>
      </w:r>
      <w:r w:rsidR="005A2184">
        <w:rPr>
          <w:rFonts w:ascii="Palatino Linotype" w:hAnsi="Palatino Linotype" w:cs="Arial"/>
        </w:rPr>
        <w:t xml:space="preserve"> año</w:t>
      </w:r>
      <w:r w:rsidR="00D62376">
        <w:rPr>
          <w:rFonts w:ascii="Palatino Linotype" w:hAnsi="Palatino Linotype" w:cs="Arial"/>
        </w:rPr>
        <w:t>s 2011 a 2018 y,</w:t>
      </w:r>
      <w:r w:rsidR="000D5276">
        <w:rPr>
          <w:rFonts w:ascii="Palatino Linotype" w:hAnsi="Palatino Linotype" w:cs="Arial"/>
        </w:rPr>
        <w:t xml:space="preserve"> finalmente solicitó l</w:t>
      </w:r>
      <w:r w:rsidR="005A2184">
        <w:rPr>
          <w:rFonts w:ascii="Palatino Linotype" w:hAnsi="Palatino Linotype" w:cs="Arial"/>
        </w:rPr>
        <w:t>a clasificación</w:t>
      </w:r>
      <w:r w:rsidR="000D5276">
        <w:rPr>
          <w:rFonts w:ascii="Palatino Linotype" w:hAnsi="Palatino Linotype" w:cs="Arial"/>
        </w:rPr>
        <w:t xml:space="preserve"> de la </w:t>
      </w:r>
      <w:r w:rsidR="000D5276">
        <w:rPr>
          <w:rFonts w:ascii="Palatino Linotype" w:hAnsi="Palatino Linotype" w:cs="Arial"/>
        </w:rPr>
        <w:lastRenderedPageBreak/>
        <w:t xml:space="preserve">información como confidencial </w:t>
      </w:r>
      <w:r w:rsidR="005A2184">
        <w:rPr>
          <w:rFonts w:ascii="Palatino Linotype" w:hAnsi="Palatino Linotype" w:cs="Arial"/>
        </w:rPr>
        <w:t>relativa a las bases de datos proporcionadas para la credencialización de los alumnos</w:t>
      </w:r>
      <w:r w:rsidR="000D5276">
        <w:rPr>
          <w:rFonts w:ascii="Palatino Linotype" w:hAnsi="Palatino Linotype" w:cs="Arial"/>
        </w:rPr>
        <w:t>.</w:t>
      </w:r>
    </w:p>
    <w:p w:rsidR="000D5276" w:rsidRDefault="000D5276" w:rsidP="000D5276">
      <w:pPr>
        <w:spacing w:before="100" w:beforeAutospacing="1" w:after="100" w:afterAutospacing="1" w:line="360" w:lineRule="auto"/>
        <w:jc w:val="both"/>
        <w:rPr>
          <w:rFonts w:ascii="Palatino Linotype" w:hAnsi="Palatino Linotype" w:cs="Arial"/>
        </w:rPr>
      </w:pPr>
      <w:r>
        <w:rPr>
          <w:rFonts w:ascii="Palatino Linotype" w:hAnsi="Palatino Linotype" w:cs="Arial"/>
        </w:rPr>
        <w:t>Además</w:t>
      </w:r>
      <w:r w:rsidR="00D62376">
        <w:rPr>
          <w:rFonts w:ascii="Palatino Linotype" w:hAnsi="Palatino Linotype" w:cs="Arial"/>
        </w:rPr>
        <w:t>,</w:t>
      </w:r>
      <w:r>
        <w:rPr>
          <w:rFonts w:ascii="Palatino Linotype" w:hAnsi="Palatino Linotype" w:cs="Arial"/>
        </w:rPr>
        <w:t xml:space="preserve"> de manera adjunta a sus solicitudes </w:t>
      </w:r>
      <w:r w:rsidR="00434433">
        <w:rPr>
          <w:rFonts w:ascii="Palatino Linotype" w:hAnsi="Palatino Linotype" w:cs="Arial"/>
          <w:b/>
        </w:rPr>
        <w:t xml:space="preserve">EL SUJETO OBLIGADO </w:t>
      </w:r>
      <w:r w:rsidR="00434433">
        <w:rPr>
          <w:rFonts w:ascii="Palatino Linotype" w:hAnsi="Palatino Linotype" w:cs="Arial"/>
        </w:rPr>
        <w:t>agregó diversos archivos electrónicos los cuales contienen las versiones públicas de las facturas por concepto de compra de credenciales a partir del año 2011 al mes de mayo de 2018.</w:t>
      </w:r>
    </w:p>
    <w:p w:rsidR="008A5244" w:rsidRDefault="008A5244" w:rsidP="008A5244">
      <w:pPr>
        <w:spacing w:before="100" w:beforeAutospacing="1" w:after="100" w:afterAutospacing="1" w:line="360" w:lineRule="auto"/>
        <w:jc w:val="both"/>
        <w:rPr>
          <w:rFonts w:ascii="Palatino Linotype" w:hAnsi="Palatino Linotype" w:cs="Arial"/>
        </w:rPr>
      </w:pPr>
      <w:r>
        <w:rPr>
          <w:rFonts w:ascii="Palatino Linotype" w:hAnsi="Palatino Linotype"/>
          <w:color w:val="000000"/>
          <w:lang w:val="es-MX" w:eastAsia="es-MX"/>
        </w:rPr>
        <w:t>Inconforme con la</w:t>
      </w:r>
      <w:r w:rsidR="00434433">
        <w:rPr>
          <w:rFonts w:ascii="Palatino Linotype" w:hAnsi="Palatino Linotype"/>
          <w:color w:val="000000"/>
          <w:lang w:val="es-MX" w:eastAsia="es-MX"/>
        </w:rPr>
        <w:t>s</w:t>
      </w:r>
      <w:r>
        <w:rPr>
          <w:rFonts w:ascii="Palatino Linotype" w:hAnsi="Palatino Linotype"/>
          <w:color w:val="000000"/>
          <w:lang w:val="es-MX" w:eastAsia="es-MX"/>
        </w:rPr>
        <w:t xml:space="preserve"> respuesta</w:t>
      </w:r>
      <w:r w:rsidR="00434433">
        <w:rPr>
          <w:rFonts w:ascii="Palatino Linotype" w:hAnsi="Palatino Linotype"/>
          <w:color w:val="000000"/>
          <w:lang w:val="es-MX" w:eastAsia="es-MX"/>
        </w:rPr>
        <w:t>s</w:t>
      </w:r>
      <w:r>
        <w:rPr>
          <w:rFonts w:ascii="Palatino Linotype" w:hAnsi="Palatino Linotype"/>
          <w:color w:val="000000"/>
          <w:lang w:val="es-MX" w:eastAsia="es-MX"/>
        </w:rPr>
        <w:t xml:space="preserve">, </w:t>
      </w:r>
      <w:r w:rsidR="00434433">
        <w:rPr>
          <w:rFonts w:ascii="Palatino Linotype" w:hAnsi="Palatino Linotype"/>
          <w:b/>
          <w:color w:val="000000"/>
          <w:lang w:val="es-MX" w:eastAsia="es-MX"/>
        </w:rPr>
        <w:t>LA</w:t>
      </w:r>
      <w:r>
        <w:rPr>
          <w:rFonts w:ascii="Palatino Linotype" w:hAnsi="Palatino Linotype"/>
          <w:b/>
          <w:color w:val="000000"/>
          <w:lang w:val="es-MX" w:eastAsia="es-MX"/>
        </w:rPr>
        <w:t xml:space="preserve"> R</w:t>
      </w:r>
      <w:r w:rsidRPr="00833697">
        <w:rPr>
          <w:rFonts w:ascii="Palatino Linotype" w:hAnsi="Palatino Linotype"/>
          <w:b/>
          <w:color w:val="000000"/>
          <w:lang w:val="es-MX" w:eastAsia="es-MX"/>
        </w:rPr>
        <w:t>ECURRENTE</w:t>
      </w:r>
      <w:r>
        <w:rPr>
          <w:rFonts w:ascii="Palatino Linotype" w:hAnsi="Palatino Linotype"/>
          <w:color w:val="000000"/>
          <w:lang w:val="es-MX" w:eastAsia="es-MX"/>
        </w:rPr>
        <w:t xml:space="preserve"> </w:t>
      </w:r>
      <w:r w:rsidR="00434433">
        <w:rPr>
          <w:rFonts w:ascii="Palatino Linotype" w:hAnsi="Palatino Linotype" w:cs="Arial"/>
        </w:rPr>
        <w:t xml:space="preserve">interpuso los </w:t>
      </w:r>
      <w:r>
        <w:rPr>
          <w:rFonts w:ascii="Palatino Linotype" w:hAnsi="Palatino Linotype" w:cs="Arial"/>
        </w:rPr>
        <w:t>recurso</w:t>
      </w:r>
      <w:r w:rsidR="00434433">
        <w:rPr>
          <w:rFonts w:ascii="Palatino Linotype" w:hAnsi="Palatino Linotype" w:cs="Arial"/>
        </w:rPr>
        <w:t>s</w:t>
      </w:r>
      <w:r>
        <w:rPr>
          <w:rFonts w:ascii="Palatino Linotype" w:hAnsi="Palatino Linotype" w:cs="Arial"/>
        </w:rPr>
        <w:t xml:space="preserve"> de revisión de mérito.</w:t>
      </w:r>
    </w:p>
    <w:p w:rsidR="00434433" w:rsidRPr="00434433" w:rsidRDefault="008A5244" w:rsidP="00434433">
      <w:pPr>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Así, del estudio d</w:t>
      </w:r>
      <w:r>
        <w:rPr>
          <w:rFonts w:ascii="Palatino Linotype" w:hAnsi="Palatino Linotype"/>
        </w:rPr>
        <w:t xml:space="preserve">el </w:t>
      </w:r>
      <w:r w:rsidRPr="00A01905">
        <w:rPr>
          <w:rFonts w:ascii="Palatino Linotype" w:hAnsi="Palatino Linotype"/>
        </w:rPr>
        <w:t>expediente electrónico</w:t>
      </w:r>
      <w:r>
        <w:rPr>
          <w:rFonts w:ascii="Palatino Linotype" w:hAnsi="Palatino Linotype" w:cs="Arial"/>
        </w:rPr>
        <w:t xml:space="preserve"> la Ponencia Resolutora determinó </w:t>
      </w:r>
      <w:r>
        <w:rPr>
          <w:rFonts w:ascii="Palatino Linotype" w:hAnsi="Palatino Linotype" w:cs="Arial"/>
          <w:b/>
        </w:rPr>
        <w:t>MODIFIC</w:t>
      </w:r>
      <w:r w:rsidRPr="00AD7F4F">
        <w:rPr>
          <w:rFonts w:ascii="Palatino Linotype" w:hAnsi="Palatino Linotype" w:cs="Arial"/>
          <w:b/>
        </w:rPr>
        <w:t>A</w:t>
      </w:r>
      <w:r>
        <w:rPr>
          <w:rFonts w:ascii="Palatino Linotype" w:hAnsi="Palatino Linotype" w:cs="Arial"/>
          <w:b/>
        </w:rPr>
        <w:t>R</w:t>
      </w:r>
      <w:r>
        <w:rPr>
          <w:rFonts w:ascii="Palatino Linotype" w:hAnsi="Palatino Linotype" w:cs="Arial"/>
        </w:rPr>
        <w:t xml:space="preserve"> la</w:t>
      </w:r>
      <w:r w:rsidR="00434433">
        <w:rPr>
          <w:rFonts w:ascii="Palatino Linotype" w:hAnsi="Palatino Linotype" w:cs="Arial"/>
        </w:rPr>
        <w:t>s</w:t>
      </w:r>
      <w:r>
        <w:rPr>
          <w:rFonts w:ascii="Palatino Linotype" w:hAnsi="Palatino Linotype" w:cs="Arial"/>
        </w:rPr>
        <w:t xml:space="preserve"> respuesta</w:t>
      </w:r>
      <w:r w:rsidR="00434433">
        <w:rPr>
          <w:rFonts w:ascii="Palatino Linotype" w:hAnsi="Palatino Linotype" w:cs="Arial"/>
        </w:rPr>
        <w:t>s</w:t>
      </w:r>
      <w:r>
        <w:rPr>
          <w:rFonts w:ascii="Palatino Linotype" w:hAnsi="Palatino Linotype" w:cs="Arial"/>
        </w:rPr>
        <w:t xml:space="preserve"> del </w:t>
      </w:r>
      <w:r>
        <w:rPr>
          <w:rFonts w:ascii="Palatino Linotype" w:hAnsi="Palatino Linotype" w:cs="Arial"/>
          <w:b/>
        </w:rPr>
        <w:t xml:space="preserve">SUJETO OBLIGADO </w:t>
      </w:r>
      <w:r>
        <w:rPr>
          <w:rFonts w:ascii="Palatino Linotype" w:hAnsi="Palatino Linotype" w:cs="Arial"/>
        </w:rPr>
        <w:t xml:space="preserve">y ordenarle </w:t>
      </w:r>
      <w:r w:rsidR="00D62376">
        <w:rPr>
          <w:rFonts w:ascii="Palatino Linotype" w:hAnsi="Palatino Linotype" w:cs="Arial"/>
        </w:rPr>
        <w:t>la</w:t>
      </w:r>
      <w:r>
        <w:rPr>
          <w:rFonts w:ascii="Palatino Linotype" w:hAnsi="Palatino Linotype" w:cs="Arial"/>
        </w:rPr>
        <w:t xml:space="preserve"> entrega</w:t>
      </w:r>
      <w:r w:rsidRPr="00AD7F4F">
        <w:rPr>
          <w:rFonts w:ascii="Palatino Linotype" w:hAnsi="Palatino Linotype" w:cs="Arial"/>
        </w:rPr>
        <w:t xml:space="preserve"> vía </w:t>
      </w:r>
      <w:r w:rsidRPr="00AD7F4F">
        <w:rPr>
          <w:rFonts w:ascii="Palatino Linotype" w:hAnsi="Palatino Linotype" w:cs="Arial"/>
          <w:b/>
        </w:rPr>
        <w:t>SAIMEX</w:t>
      </w:r>
      <w:r>
        <w:rPr>
          <w:rFonts w:ascii="Palatino Linotype" w:hAnsi="Palatino Linotype" w:cs="Arial"/>
          <w:b/>
        </w:rPr>
        <w:t xml:space="preserve">, </w:t>
      </w:r>
      <w:r w:rsidR="00434433">
        <w:rPr>
          <w:rFonts w:ascii="Palatino Linotype" w:hAnsi="Palatino Linotype"/>
        </w:rPr>
        <w:t>previa búsqueda exhaustiva y razonable, de ser procedente en versión pública,</w:t>
      </w:r>
      <w:r w:rsidR="00434433" w:rsidRPr="001B7CCE">
        <w:rPr>
          <w:rFonts w:ascii="Palatino Linotype" w:hAnsi="Palatino Linotype"/>
        </w:rPr>
        <w:t xml:space="preserve"> de lo siguiente:</w:t>
      </w:r>
    </w:p>
    <w:p w:rsidR="00434433" w:rsidRPr="00434433" w:rsidRDefault="00434433" w:rsidP="00434433">
      <w:pPr>
        <w:pStyle w:val="Prrafodelista"/>
        <w:numPr>
          <w:ilvl w:val="0"/>
          <w:numId w:val="3"/>
        </w:numPr>
        <w:ind w:left="851" w:right="899"/>
        <w:contextualSpacing w:val="0"/>
        <w:jc w:val="both"/>
        <w:rPr>
          <w:rFonts w:ascii="Palatino Linotype" w:hAnsi="Palatino Linotype" w:cs="Arial"/>
          <w:bCs/>
          <w:i/>
          <w:sz w:val="22"/>
          <w:szCs w:val="22"/>
          <w:shd w:val="clear" w:color="auto" w:fill="FFFFFF"/>
        </w:rPr>
      </w:pPr>
      <w:r>
        <w:rPr>
          <w:rFonts w:ascii="Palatino Linotype" w:hAnsi="Palatino Linotype"/>
          <w:i/>
          <w:sz w:val="22"/>
          <w:szCs w:val="22"/>
        </w:rPr>
        <w:t>“</w:t>
      </w:r>
      <w:r w:rsidRPr="00434433">
        <w:rPr>
          <w:rFonts w:ascii="Palatino Linotype" w:hAnsi="Palatino Linotype"/>
          <w:i/>
          <w:sz w:val="22"/>
          <w:szCs w:val="22"/>
        </w:rPr>
        <w:t>El documento o documentos en donde conste o se pueda advertir el n</w:t>
      </w:r>
      <w:r w:rsidRPr="00434433">
        <w:rPr>
          <w:rFonts w:ascii="Palatino Linotype" w:hAnsi="Palatino Linotype" w:cs="Arial"/>
          <w:bCs/>
          <w:i/>
          <w:sz w:val="22"/>
          <w:szCs w:val="22"/>
          <w:shd w:val="clear" w:color="auto" w:fill="FFFFFF"/>
        </w:rPr>
        <w:t xml:space="preserve">úmero de empleado o equivalente del personal que haya sido </w:t>
      </w:r>
      <w:proofErr w:type="spellStart"/>
      <w:r w:rsidRPr="00434433">
        <w:rPr>
          <w:rFonts w:ascii="Palatino Linotype" w:hAnsi="Palatino Linotype" w:cs="Arial"/>
          <w:bCs/>
          <w:i/>
          <w:sz w:val="22"/>
          <w:szCs w:val="22"/>
          <w:shd w:val="clear" w:color="auto" w:fill="FFFFFF"/>
        </w:rPr>
        <w:t>credencializado</w:t>
      </w:r>
      <w:proofErr w:type="spellEnd"/>
      <w:r w:rsidRPr="00434433">
        <w:rPr>
          <w:rFonts w:ascii="Palatino Linotype" w:hAnsi="Palatino Linotype" w:cs="Arial"/>
          <w:bCs/>
          <w:i/>
          <w:sz w:val="22"/>
          <w:szCs w:val="22"/>
          <w:shd w:val="clear" w:color="auto" w:fill="FFFFFF"/>
        </w:rPr>
        <w:t>, del periodo del catorce de noviembre de dos mil seis al trece de agosto de dos mil dieciocho.</w:t>
      </w:r>
    </w:p>
    <w:p w:rsidR="00434433" w:rsidRPr="00434433" w:rsidRDefault="00434433" w:rsidP="00434433">
      <w:pPr>
        <w:pStyle w:val="Prrafodelista"/>
        <w:numPr>
          <w:ilvl w:val="0"/>
          <w:numId w:val="3"/>
        </w:numPr>
        <w:ind w:left="851" w:right="899"/>
        <w:contextualSpacing w:val="0"/>
        <w:jc w:val="both"/>
        <w:rPr>
          <w:rFonts w:ascii="Palatino Linotype" w:hAnsi="Palatino Linotype" w:cs="Arial"/>
          <w:bCs/>
          <w:i/>
          <w:sz w:val="22"/>
          <w:szCs w:val="22"/>
          <w:shd w:val="clear" w:color="auto" w:fill="FFFFFF"/>
        </w:rPr>
      </w:pPr>
      <w:r w:rsidRPr="00434433">
        <w:rPr>
          <w:rFonts w:ascii="Palatino Linotype" w:hAnsi="Palatino Linotype"/>
          <w:i/>
          <w:sz w:val="22"/>
          <w:szCs w:val="22"/>
        </w:rPr>
        <w:t xml:space="preserve">Área de adscripción del personal </w:t>
      </w:r>
      <w:proofErr w:type="spellStart"/>
      <w:r w:rsidRPr="00434433">
        <w:rPr>
          <w:rFonts w:ascii="Palatino Linotype" w:hAnsi="Palatino Linotype"/>
          <w:i/>
          <w:sz w:val="22"/>
          <w:szCs w:val="22"/>
        </w:rPr>
        <w:t>credencializado</w:t>
      </w:r>
      <w:proofErr w:type="spellEnd"/>
      <w:r w:rsidRPr="00434433">
        <w:rPr>
          <w:rFonts w:ascii="Palatino Linotype" w:hAnsi="Palatino Linotype" w:cs="Arial"/>
          <w:bCs/>
          <w:i/>
          <w:sz w:val="22"/>
          <w:szCs w:val="22"/>
          <w:shd w:val="clear" w:color="auto" w:fill="FFFFFF"/>
        </w:rPr>
        <w:t>, del periodo del catorce de noviembre de dos mil seis al treinta y uno de diciembre de dos mil diecisiete.</w:t>
      </w:r>
    </w:p>
    <w:p w:rsidR="00434433" w:rsidRPr="00434433" w:rsidRDefault="00434433" w:rsidP="00434433">
      <w:pPr>
        <w:pStyle w:val="Prrafodelista"/>
        <w:numPr>
          <w:ilvl w:val="0"/>
          <w:numId w:val="3"/>
        </w:numPr>
        <w:ind w:left="851" w:right="899"/>
        <w:contextualSpacing w:val="0"/>
        <w:jc w:val="both"/>
        <w:rPr>
          <w:rFonts w:ascii="Palatino Linotype" w:hAnsi="Palatino Linotype" w:cs="Arial"/>
          <w:bCs/>
          <w:i/>
          <w:sz w:val="22"/>
          <w:szCs w:val="22"/>
          <w:shd w:val="clear" w:color="auto" w:fill="FFFFFF"/>
        </w:rPr>
      </w:pPr>
      <w:r w:rsidRPr="00434433">
        <w:rPr>
          <w:rFonts w:ascii="Palatino Linotype" w:hAnsi="Palatino Linotype"/>
          <w:i/>
          <w:sz w:val="22"/>
          <w:szCs w:val="22"/>
        </w:rPr>
        <w:t xml:space="preserve">Facturas </w:t>
      </w:r>
      <w:r w:rsidRPr="00434433">
        <w:rPr>
          <w:rFonts w:ascii="Palatino Linotype" w:hAnsi="Palatino Linotype" w:cs="Arial"/>
          <w:i/>
          <w:sz w:val="22"/>
          <w:szCs w:val="22"/>
        </w:rPr>
        <w:t xml:space="preserve">por concepto de pago de tarjetas de PVC o credenciales así como nombre del proveedor, del periodo </w:t>
      </w:r>
      <w:r w:rsidRPr="00434433">
        <w:rPr>
          <w:rFonts w:ascii="Palatino Linotype" w:hAnsi="Palatino Linotype" w:cs="Arial"/>
          <w:bCs/>
          <w:i/>
          <w:sz w:val="22"/>
          <w:szCs w:val="22"/>
          <w:shd w:val="clear" w:color="auto" w:fill="FFFFFF"/>
        </w:rPr>
        <w:t xml:space="preserve">del catorce de noviembre al treinta y uno de diciembre de dos mil seis y del uno de enero </w:t>
      </w:r>
      <w:r w:rsidRPr="00434433">
        <w:rPr>
          <w:rFonts w:ascii="Palatino Linotype" w:hAnsi="Palatino Linotype" w:cs="Arial"/>
          <w:i/>
          <w:sz w:val="22"/>
          <w:szCs w:val="22"/>
        </w:rPr>
        <w:t xml:space="preserve">de dos mil once </w:t>
      </w:r>
      <w:r w:rsidRPr="00434433">
        <w:rPr>
          <w:rFonts w:ascii="Palatino Linotype" w:hAnsi="Palatino Linotype" w:cs="Arial"/>
          <w:bCs/>
          <w:i/>
          <w:sz w:val="22"/>
          <w:szCs w:val="22"/>
          <w:shd w:val="clear" w:color="auto" w:fill="FFFFFF"/>
        </w:rPr>
        <w:t>al trece de agosto de dos mil dieciocho.</w:t>
      </w:r>
    </w:p>
    <w:p w:rsidR="00434433" w:rsidRPr="00434433" w:rsidRDefault="00434433" w:rsidP="00434433">
      <w:pPr>
        <w:pStyle w:val="Prrafodelista"/>
        <w:numPr>
          <w:ilvl w:val="0"/>
          <w:numId w:val="3"/>
        </w:numPr>
        <w:ind w:left="851" w:right="899"/>
        <w:contextualSpacing w:val="0"/>
        <w:jc w:val="both"/>
        <w:rPr>
          <w:rFonts w:ascii="Palatino Linotype" w:hAnsi="Palatino Linotype" w:cs="Arial"/>
          <w:i/>
          <w:sz w:val="22"/>
          <w:szCs w:val="22"/>
        </w:rPr>
      </w:pPr>
      <w:r w:rsidRPr="00434433">
        <w:rPr>
          <w:rFonts w:ascii="Palatino Linotype" w:hAnsi="Palatino Linotype"/>
          <w:i/>
          <w:sz w:val="22"/>
          <w:szCs w:val="22"/>
        </w:rPr>
        <w:t xml:space="preserve">Acuerdo debidamente fundado y motivado emitido por su Comité de Transparencia, de conformidad con la Ley de Transparencia y Acceso a la Información Pública del Estado de México y Municipios, por el que se confirme la inexistencia en sus archivos de la documentación </w:t>
      </w:r>
      <w:r w:rsidRPr="00434433">
        <w:rPr>
          <w:rFonts w:ascii="Palatino Linotype" w:hAnsi="Palatino Linotype" w:cs="Arial"/>
          <w:bCs/>
          <w:i/>
          <w:sz w:val="22"/>
          <w:szCs w:val="22"/>
          <w:shd w:val="clear" w:color="auto" w:fill="FFFFFF"/>
        </w:rPr>
        <w:t xml:space="preserve">relativa a las facturas </w:t>
      </w:r>
      <w:r w:rsidRPr="00434433">
        <w:rPr>
          <w:rFonts w:ascii="Palatino Linotype" w:hAnsi="Palatino Linotype" w:cs="Arial"/>
          <w:i/>
          <w:sz w:val="22"/>
          <w:szCs w:val="22"/>
        </w:rPr>
        <w:t>por concepto de pago de tarjetas de PVC o credenciales</w:t>
      </w:r>
      <w:r w:rsidRPr="00434433">
        <w:rPr>
          <w:rFonts w:ascii="Palatino Linotype" w:hAnsi="Palatino Linotype" w:cs="Arial"/>
          <w:bCs/>
          <w:i/>
          <w:sz w:val="22"/>
          <w:szCs w:val="22"/>
          <w:shd w:val="clear" w:color="auto" w:fill="FFFFFF"/>
        </w:rPr>
        <w:t>, correspondientes a los años dos mil siete a dos mil diez.</w:t>
      </w:r>
    </w:p>
    <w:p w:rsidR="00434433" w:rsidRPr="00434433" w:rsidRDefault="00434433" w:rsidP="00434433">
      <w:pPr>
        <w:pStyle w:val="Prrafodelista"/>
        <w:ind w:left="851" w:right="899"/>
        <w:contextualSpacing w:val="0"/>
        <w:jc w:val="both"/>
        <w:rPr>
          <w:rFonts w:ascii="Palatino Linotype" w:hAnsi="Palatino Linotype" w:cs="Arial"/>
          <w:i/>
          <w:sz w:val="22"/>
          <w:szCs w:val="22"/>
        </w:rPr>
      </w:pPr>
    </w:p>
    <w:p w:rsidR="00434433" w:rsidRDefault="00434433" w:rsidP="00434433">
      <w:pPr>
        <w:ind w:left="851" w:right="899"/>
        <w:jc w:val="both"/>
        <w:rPr>
          <w:rFonts w:ascii="Palatino Linotype" w:hAnsi="Palatino Linotype"/>
          <w:i/>
          <w:sz w:val="22"/>
          <w:szCs w:val="22"/>
        </w:rPr>
      </w:pPr>
      <w:r w:rsidRPr="00434433">
        <w:rPr>
          <w:rFonts w:ascii="Palatino Linotype" w:hAnsi="Palatino Linotype"/>
          <w:i/>
          <w:sz w:val="22"/>
          <w:szCs w:val="22"/>
        </w:rPr>
        <w:lastRenderedPageBreak/>
        <w:t>De ser el caso, que la información de la cual se ordena su entrega requiera ser entregada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también hará de conocimiento del particular.</w:t>
      </w:r>
    </w:p>
    <w:p w:rsidR="00434433" w:rsidRPr="00434433" w:rsidRDefault="00434433" w:rsidP="00434433">
      <w:pPr>
        <w:ind w:left="851" w:right="899"/>
        <w:jc w:val="both"/>
        <w:rPr>
          <w:rFonts w:ascii="Palatino Linotype" w:hAnsi="Palatino Linotype"/>
          <w:i/>
          <w:sz w:val="22"/>
          <w:szCs w:val="22"/>
        </w:rPr>
      </w:pPr>
    </w:p>
    <w:p w:rsidR="00434433" w:rsidRDefault="00434433" w:rsidP="00434433">
      <w:pPr>
        <w:ind w:left="851" w:right="899"/>
        <w:jc w:val="both"/>
        <w:rPr>
          <w:rFonts w:ascii="Palatino Linotype" w:hAnsi="Palatino Linotype"/>
          <w:i/>
          <w:sz w:val="22"/>
          <w:szCs w:val="22"/>
        </w:rPr>
      </w:pPr>
      <w:r w:rsidRPr="00434433">
        <w:rPr>
          <w:rFonts w:ascii="Palatino Linotype" w:hAnsi="Palatino Linotype"/>
          <w:i/>
          <w:sz w:val="22"/>
          <w:szCs w:val="22"/>
        </w:rPr>
        <w:t>Para el caso, que la información que se ordena en el numeral 1 sea de carácter confidencial, el Sujeto Obligado deberá emitir el acuerdo que clasifique la información solicitada en términos de lo establecido en la  Ley de Transparencia y Acceso a la Información Pública del Estado de México y Municipios.</w:t>
      </w:r>
    </w:p>
    <w:p w:rsidR="00434433" w:rsidRPr="00434433" w:rsidRDefault="00434433" w:rsidP="00434433">
      <w:pPr>
        <w:ind w:left="851" w:right="899"/>
        <w:jc w:val="both"/>
        <w:rPr>
          <w:rFonts w:ascii="Palatino Linotype" w:hAnsi="Palatino Linotype"/>
          <w:i/>
          <w:sz w:val="22"/>
          <w:szCs w:val="22"/>
        </w:rPr>
      </w:pPr>
    </w:p>
    <w:p w:rsidR="00434433" w:rsidRPr="00434433" w:rsidRDefault="00434433" w:rsidP="00434433">
      <w:pPr>
        <w:ind w:left="851" w:right="899"/>
        <w:jc w:val="both"/>
        <w:rPr>
          <w:rFonts w:ascii="Palatino Linotype" w:hAnsi="Palatino Linotype"/>
          <w:i/>
          <w:sz w:val="22"/>
          <w:szCs w:val="22"/>
        </w:rPr>
      </w:pPr>
      <w:r w:rsidRPr="00434433">
        <w:rPr>
          <w:rFonts w:ascii="Palatino Linotype" w:hAnsi="Palatino Linotype"/>
          <w:i/>
          <w:sz w:val="22"/>
          <w:szCs w:val="22"/>
        </w:rPr>
        <w:t>En el supuesto, que la información solicitada en los numerales 1, 2 y 3, correspondiente a alguno de los años ya no obre en los archivos del Sujeto Obligado</w:t>
      </w:r>
      <w:r w:rsidRPr="00434433">
        <w:rPr>
          <w:rFonts w:ascii="Palatino Linotype" w:hAnsi="Palatino Linotype" w:cs="Arial"/>
          <w:i/>
          <w:sz w:val="22"/>
          <w:szCs w:val="22"/>
        </w:rPr>
        <w:t xml:space="preserve">, </w:t>
      </w:r>
      <w:r w:rsidRPr="00434433">
        <w:rPr>
          <w:rFonts w:ascii="Palatino Linotype" w:hAnsi="Palatino Linotype"/>
          <w:i/>
          <w:color w:val="000000"/>
          <w:sz w:val="22"/>
          <w:szCs w:val="22"/>
        </w:rPr>
        <w:t>el Comité de Transparencia deberá emitir Acuerdo de Inexistencia, en términos de los artículos 49 fracciones II y XIII, 169 y 170 de la Ley de Transparencia y Acceso a la Información Pública del Estado de México y Municipios, debiendo notificarlo a la recurrente al momento de dar cumplimiento a la presente resolución.</w:t>
      </w:r>
      <w:r>
        <w:rPr>
          <w:rFonts w:ascii="Palatino Linotype" w:hAnsi="Palatino Linotype"/>
          <w:i/>
          <w:color w:val="000000"/>
          <w:sz w:val="22"/>
          <w:szCs w:val="22"/>
        </w:rPr>
        <w:t>” (Sic)</w:t>
      </w:r>
    </w:p>
    <w:p w:rsidR="008A5244" w:rsidRDefault="00A6336A" w:rsidP="008A5244">
      <w:pPr>
        <w:spacing w:before="100" w:beforeAutospacing="1" w:after="100" w:afterAutospacing="1" w:line="360" w:lineRule="auto"/>
        <w:jc w:val="both"/>
        <w:rPr>
          <w:rFonts w:ascii="Palatino Linotype" w:hAnsi="Palatino Linotype" w:cs="Arial"/>
          <w:lang w:val="es-MX"/>
        </w:rPr>
      </w:pPr>
      <w:r>
        <w:rPr>
          <w:rFonts w:ascii="Palatino Linotype" w:hAnsi="Palatino Linotype" w:cs="Arial"/>
          <w:lang w:val="es-MX"/>
        </w:rPr>
        <w:t xml:space="preserve">En ese sentido, la suscrita </w:t>
      </w:r>
      <w:r w:rsidR="008A5244" w:rsidRPr="004F3DBF">
        <w:rPr>
          <w:rFonts w:ascii="Palatino Linotype" w:hAnsi="Palatino Linotype" w:cs="Arial"/>
          <w:lang w:val="es-MX"/>
        </w:rPr>
        <w:t xml:space="preserve">reitera, que si bien coincide en términos generales con el </w:t>
      </w:r>
      <w:r w:rsidR="008A5244">
        <w:rPr>
          <w:rFonts w:ascii="Palatino Linotype" w:hAnsi="Palatino Linotype" w:cs="Arial"/>
          <w:lang w:val="es-MX"/>
        </w:rPr>
        <w:t>sentido de la resolución en comento,</w:t>
      </w:r>
      <w:r w:rsidR="008A5244" w:rsidRPr="004F3DBF">
        <w:rPr>
          <w:rFonts w:ascii="Palatino Linotype" w:hAnsi="Palatino Linotype" w:cs="Arial"/>
          <w:lang w:val="es-MX"/>
        </w:rPr>
        <w:t xml:space="preserve"> difiero respecto </w:t>
      </w:r>
      <w:r w:rsidR="008A5244">
        <w:rPr>
          <w:rFonts w:ascii="Palatino Linotype" w:hAnsi="Palatino Linotype" w:cs="Arial"/>
          <w:lang w:val="es-MX"/>
        </w:rPr>
        <w:t xml:space="preserve">a </w:t>
      </w:r>
      <w:r w:rsidR="00E569C3">
        <w:rPr>
          <w:rFonts w:ascii="Palatino Linotype" w:hAnsi="Palatino Linotype" w:cs="Arial"/>
          <w:lang w:val="es-MX"/>
        </w:rPr>
        <w:t>que</w:t>
      </w:r>
      <w:r w:rsidR="008A5244">
        <w:rPr>
          <w:rFonts w:ascii="Palatino Linotype" w:hAnsi="Palatino Linotype" w:cs="Arial"/>
          <w:lang w:val="es-MX"/>
        </w:rPr>
        <w:t xml:space="preserve"> se </w:t>
      </w:r>
      <w:r w:rsidR="00E569C3">
        <w:rPr>
          <w:rFonts w:ascii="Palatino Linotype" w:hAnsi="Palatino Linotype" w:cs="Arial"/>
          <w:lang w:val="es-MX"/>
        </w:rPr>
        <w:t xml:space="preserve">ordene el oficio al Contralor en el Resolutivo Quinto, </w:t>
      </w:r>
      <w:r w:rsidR="008A5244">
        <w:rPr>
          <w:rFonts w:ascii="Palatino Linotype" w:hAnsi="Palatino Linotype" w:cs="Arial"/>
          <w:lang w:val="es-MX"/>
        </w:rPr>
        <w:t>así como que</w:t>
      </w:r>
      <w:r w:rsidR="00E569C3">
        <w:rPr>
          <w:rFonts w:ascii="Palatino Linotype" w:hAnsi="Palatino Linotype" w:cs="Arial"/>
          <w:lang w:val="es-MX"/>
        </w:rPr>
        <w:t>,</w:t>
      </w:r>
      <w:r w:rsidR="008A5244">
        <w:rPr>
          <w:rFonts w:ascii="Palatino Linotype" w:hAnsi="Palatino Linotype" w:cs="Arial"/>
          <w:lang w:val="es-MX"/>
        </w:rPr>
        <w:t xml:space="preserve"> se invoquen los artículos 159 y 160 de la Ley General de Transparencia y Acceso a la Información Pública en el Resolutivo Cuarto.</w:t>
      </w:r>
    </w:p>
    <w:p w:rsidR="00E569C3" w:rsidRDefault="008A5244" w:rsidP="008A5244">
      <w:pPr>
        <w:spacing w:before="100" w:beforeAutospacing="1" w:after="100" w:afterAutospacing="1" w:line="360" w:lineRule="auto"/>
        <w:jc w:val="both"/>
        <w:rPr>
          <w:rFonts w:ascii="Palatino Linotype" w:hAnsi="Palatino Linotype" w:cs="Arial"/>
        </w:rPr>
      </w:pPr>
      <w:r>
        <w:rPr>
          <w:rFonts w:ascii="Palatino Linotype" w:hAnsi="Palatino Linotype" w:cs="Arial"/>
        </w:rPr>
        <w:t>Lo anterior, obedece a que</w:t>
      </w:r>
      <w:r w:rsidR="00E569C3">
        <w:rPr>
          <w:rFonts w:ascii="Palatino Linotype" w:hAnsi="Palatino Linotype" w:cs="Arial"/>
        </w:rPr>
        <w:t xml:space="preserve"> si bien </w:t>
      </w:r>
      <w:r w:rsidR="00E569C3">
        <w:rPr>
          <w:rFonts w:ascii="Palatino Linotype" w:hAnsi="Palatino Linotype" w:cs="Arial"/>
          <w:b/>
        </w:rPr>
        <w:t xml:space="preserve">EL SUJETO OBLIGADO </w:t>
      </w:r>
      <w:r w:rsidR="00E569C3">
        <w:rPr>
          <w:rFonts w:ascii="Palatino Linotype" w:hAnsi="Palatino Linotype" w:cs="Arial"/>
        </w:rPr>
        <w:t xml:space="preserve">remitió en sus respuestas las versiones públicas de diversas facturas por concepto de compras, lo cierto es que entre los datos testados se encuentra el Registro Federal de Contribuyentes </w:t>
      </w:r>
      <w:r w:rsidR="00972BFA">
        <w:rPr>
          <w:rFonts w:ascii="Palatino Linotype" w:hAnsi="Palatino Linotype" w:cs="Arial"/>
        </w:rPr>
        <w:t>que aun</w:t>
      </w:r>
      <w:r w:rsidR="00E569C3">
        <w:rPr>
          <w:rFonts w:ascii="Palatino Linotype" w:hAnsi="Palatino Linotype" w:cs="Arial"/>
        </w:rPr>
        <w:t xml:space="preserve"> cuando se trata de un particular, lo cierto es que se trata de un proveedor; por lo que</w:t>
      </w:r>
      <w:r w:rsidR="00D62376">
        <w:rPr>
          <w:rFonts w:ascii="Palatino Linotype" w:hAnsi="Palatino Linotype" w:cs="Arial"/>
        </w:rPr>
        <w:t>,</w:t>
      </w:r>
      <w:r w:rsidR="00E569C3">
        <w:rPr>
          <w:rFonts w:ascii="Palatino Linotype" w:hAnsi="Palatino Linotype" w:cs="Arial"/>
        </w:rPr>
        <w:t xml:space="preserve"> a dicho dato le reviste el carácter de información pública, </w:t>
      </w:r>
      <w:r w:rsidR="00972BFA">
        <w:rPr>
          <w:rFonts w:ascii="Palatino Linotype" w:hAnsi="Palatino Linotype" w:cs="Arial"/>
        </w:rPr>
        <w:t xml:space="preserve">pues se considera un dato </w:t>
      </w:r>
      <w:r w:rsidR="00972BFA">
        <w:rPr>
          <w:rFonts w:ascii="Palatino Linotype" w:hAnsi="Palatino Linotype" w:cs="Arial"/>
        </w:rPr>
        <w:lastRenderedPageBreak/>
        <w:t xml:space="preserve">meramente fiscal de una persona que recibió recurso público por concepto de una compra, es decir, se trata de una persona física que fue contratada por </w:t>
      </w:r>
      <w:r w:rsidR="00972BFA">
        <w:rPr>
          <w:rFonts w:ascii="Palatino Linotype" w:hAnsi="Palatino Linotype" w:cs="Arial"/>
          <w:b/>
        </w:rPr>
        <w:t xml:space="preserve">EL SUJETO OBLIGADO </w:t>
      </w:r>
      <w:r w:rsidR="00972BFA">
        <w:rPr>
          <w:rFonts w:ascii="Palatino Linotype" w:hAnsi="Palatino Linotype" w:cs="Arial"/>
        </w:rPr>
        <w:t>para la prestación de determinado servicio y en consecuencia éste retribuyo su trabajo con el pago correspondiente por concepto del servicio prestado.</w:t>
      </w:r>
    </w:p>
    <w:p w:rsidR="00972BFA" w:rsidRPr="00972BFA" w:rsidRDefault="00972BFA" w:rsidP="008A5244">
      <w:pPr>
        <w:spacing w:before="100" w:beforeAutospacing="1" w:after="100" w:afterAutospacing="1" w:line="360" w:lineRule="auto"/>
        <w:jc w:val="both"/>
        <w:rPr>
          <w:rFonts w:ascii="Palatino Linotype" w:hAnsi="Palatino Linotype" w:cs="Arial"/>
        </w:rPr>
      </w:pPr>
      <w:r>
        <w:rPr>
          <w:rFonts w:ascii="Palatino Linotype" w:hAnsi="Palatino Linotype" w:cs="Arial"/>
        </w:rPr>
        <w:t>Por lo que, a criterio de la suscrita lo procedente era que dicho dato se dejara visible en las facturas remitidas pues aun cuando encuadra en el supuesto de la fracción XI, del artículo 4 de la Ley de Protección de Datos Personales en posesión de los Sujetos Obligados del Estado de México y Municipios, también debe tomarse en cuenta lo establecido por la Ley de la materia en su</w:t>
      </w:r>
      <w:r w:rsidR="00BB0B36">
        <w:rPr>
          <w:rFonts w:ascii="Palatino Linotype" w:hAnsi="Palatino Linotype" w:cs="Arial"/>
        </w:rPr>
        <w:t>s</w:t>
      </w:r>
      <w:r>
        <w:rPr>
          <w:rFonts w:ascii="Palatino Linotype" w:hAnsi="Palatino Linotype" w:cs="Arial"/>
        </w:rPr>
        <w:t xml:space="preserve"> artículo</w:t>
      </w:r>
      <w:r w:rsidR="00BB0B36">
        <w:rPr>
          <w:rFonts w:ascii="Palatino Linotype" w:hAnsi="Palatino Linotype" w:cs="Arial"/>
        </w:rPr>
        <w:t>s 7 y 24, fracción XVIII que a la letra señalan:</w:t>
      </w:r>
      <w:r>
        <w:rPr>
          <w:rFonts w:ascii="Palatino Linotype" w:hAnsi="Palatino Linotype" w:cs="Arial"/>
        </w:rPr>
        <w:t xml:space="preserve"> </w:t>
      </w:r>
    </w:p>
    <w:p w:rsidR="00E569C3" w:rsidRDefault="00BB0B36" w:rsidP="00BB0B36">
      <w:pPr>
        <w:ind w:left="851" w:right="899"/>
        <w:jc w:val="both"/>
        <w:rPr>
          <w:rFonts w:ascii="Palatino Linotype" w:hAnsi="Palatino Linotype"/>
          <w:i/>
          <w:sz w:val="22"/>
          <w:szCs w:val="22"/>
        </w:rPr>
      </w:pPr>
      <w:r>
        <w:rPr>
          <w:rFonts w:ascii="Palatino Linotype" w:hAnsi="Palatino Linotype"/>
          <w:i/>
          <w:sz w:val="22"/>
          <w:szCs w:val="22"/>
        </w:rPr>
        <w:t>“</w:t>
      </w:r>
      <w:r w:rsidR="00972BFA" w:rsidRPr="00BB0B36">
        <w:rPr>
          <w:rFonts w:ascii="Palatino Linotype" w:hAnsi="Palatino Linotype"/>
          <w:b/>
          <w:i/>
          <w:sz w:val="22"/>
          <w:szCs w:val="22"/>
        </w:rPr>
        <w:t>Artículo 7</w:t>
      </w:r>
      <w:r w:rsidR="00972BFA" w:rsidRPr="00BB0B36">
        <w:rPr>
          <w:rFonts w:ascii="Palatino Linotype" w:hAnsi="Palatino Linotype"/>
          <w:i/>
          <w:sz w:val="22"/>
          <w:szCs w:val="22"/>
        </w:rPr>
        <w:t xml:space="preserve">. </w:t>
      </w:r>
      <w:r w:rsidR="00972BFA" w:rsidRPr="00BB0B36">
        <w:rPr>
          <w:rFonts w:ascii="Palatino Linotype" w:hAnsi="Palatino Linotype"/>
          <w:b/>
          <w:i/>
          <w:sz w:val="22"/>
          <w:szCs w:val="22"/>
        </w:rPr>
        <w:t>El Estado de México garantizará el efectivo acceso de toda persona a la información en posesión de cualquier entidad, autoridad, órgano y organismo de los poderes Ejecutivo, Legislativo y Judicial, órganos autónomos, partidos políticos, fideicomisos y fondos públicos,</w:t>
      </w:r>
      <w:r w:rsidR="00972BFA" w:rsidRPr="00BB0B36">
        <w:rPr>
          <w:rFonts w:ascii="Palatino Linotype" w:hAnsi="Palatino Linotype"/>
          <w:i/>
          <w:sz w:val="22"/>
          <w:szCs w:val="22"/>
        </w:rPr>
        <w:t xml:space="preserve"> así como de cualquier persona física, jurídico colectiva o sindicato </w:t>
      </w:r>
      <w:r w:rsidR="00972BFA" w:rsidRPr="00BB0B36">
        <w:rPr>
          <w:rFonts w:ascii="Palatino Linotype" w:hAnsi="Palatino Linotype"/>
          <w:b/>
          <w:i/>
          <w:sz w:val="22"/>
          <w:szCs w:val="22"/>
        </w:rPr>
        <w:t>que reciba y ejerza recursos públicos</w:t>
      </w:r>
      <w:r w:rsidR="00972BFA" w:rsidRPr="00BB0B36">
        <w:rPr>
          <w:rFonts w:ascii="Palatino Linotype" w:hAnsi="Palatino Linotype"/>
          <w:i/>
          <w:sz w:val="22"/>
          <w:szCs w:val="22"/>
        </w:rPr>
        <w:t xml:space="preserve"> o realice actos de autoridad en el ámbito de competencia del Estado de México y sus municipios.</w:t>
      </w:r>
    </w:p>
    <w:p w:rsidR="00E569C3" w:rsidRPr="00BB0B36" w:rsidRDefault="00972BFA" w:rsidP="00BB0B36">
      <w:pPr>
        <w:ind w:left="851" w:right="899"/>
        <w:jc w:val="both"/>
        <w:rPr>
          <w:rFonts w:ascii="Palatino Linotype" w:hAnsi="Palatino Linotype"/>
          <w:b/>
          <w:i/>
          <w:sz w:val="22"/>
          <w:szCs w:val="22"/>
        </w:rPr>
      </w:pPr>
      <w:r w:rsidRPr="00BB0B36">
        <w:rPr>
          <w:rFonts w:ascii="Palatino Linotype" w:hAnsi="Palatino Linotype"/>
          <w:b/>
          <w:i/>
          <w:sz w:val="22"/>
          <w:szCs w:val="22"/>
        </w:rPr>
        <w:t>Artículo 24.</w:t>
      </w:r>
      <w:r w:rsidRPr="00BB0B36">
        <w:rPr>
          <w:rFonts w:ascii="Palatino Linotype" w:hAnsi="Palatino Linotype"/>
          <w:i/>
          <w:sz w:val="22"/>
          <w:szCs w:val="22"/>
        </w:rPr>
        <w:t xml:space="preserve"> Para el cumplimiento de los objetivos de esta Ley, </w:t>
      </w:r>
      <w:r w:rsidRPr="00BB0B36">
        <w:rPr>
          <w:rFonts w:ascii="Palatino Linotype" w:hAnsi="Palatino Linotype"/>
          <w:b/>
          <w:i/>
          <w:sz w:val="22"/>
          <w:szCs w:val="22"/>
        </w:rPr>
        <w:t>los sujetos obligados deberán cumplir con las siguientes obligaciones, según corresponda, de acuerdo a su naturaleza:</w:t>
      </w:r>
    </w:p>
    <w:p w:rsidR="00BB0B36" w:rsidRPr="00BB0B36" w:rsidRDefault="00BB0B36" w:rsidP="00BB0B36">
      <w:pPr>
        <w:ind w:left="851" w:right="899"/>
        <w:jc w:val="both"/>
        <w:rPr>
          <w:rFonts w:ascii="Palatino Linotype" w:hAnsi="Palatino Linotype" w:cs="Arial"/>
          <w:i/>
          <w:sz w:val="22"/>
          <w:szCs w:val="22"/>
        </w:rPr>
      </w:pPr>
      <w:r>
        <w:rPr>
          <w:rFonts w:ascii="Palatino Linotype" w:hAnsi="Palatino Linotype"/>
          <w:i/>
          <w:sz w:val="22"/>
          <w:szCs w:val="22"/>
        </w:rPr>
        <w:t>…</w:t>
      </w:r>
    </w:p>
    <w:p w:rsidR="00E569C3" w:rsidRDefault="00972BFA" w:rsidP="00BB0B36">
      <w:pPr>
        <w:ind w:left="851" w:right="899"/>
        <w:jc w:val="both"/>
        <w:rPr>
          <w:rFonts w:ascii="Palatino Linotype" w:hAnsi="Palatino Linotype"/>
          <w:i/>
          <w:sz w:val="22"/>
          <w:szCs w:val="22"/>
        </w:rPr>
      </w:pPr>
      <w:r w:rsidRPr="00BB0B36">
        <w:rPr>
          <w:rFonts w:ascii="Palatino Linotype" w:hAnsi="Palatino Linotype"/>
          <w:b/>
          <w:i/>
          <w:sz w:val="22"/>
          <w:szCs w:val="22"/>
        </w:rPr>
        <w:t>XVIII</w:t>
      </w:r>
      <w:r w:rsidRPr="00BB0B36">
        <w:rPr>
          <w:rFonts w:ascii="Palatino Linotype" w:hAnsi="Palatino Linotype"/>
          <w:i/>
          <w:sz w:val="22"/>
          <w:szCs w:val="22"/>
        </w:rPr>
        <w:t xml:space="preserve">. </w:t>
      </w:r>
      <w:r w:rsidRPr="00BB0B36">
        <w:rPr>
          <w:rFonts w:ascii="Palatino Linotype" w:hAnsi="Palatino Linotype"/>
          <w:b/>
          <w:i/>
          <w:sz w:val="22"/>
          <w:szCs w:val="22"/>
        </w:rPr>
        <w:t>Hacer pública toda aquella información relativa a los montos y las personas a quienes entreguen, por cualquier motivo, recursos públicos</w:t>
      </w:r>
      <w:r w:rsidRPr="00BB0B36">
        <w:rPr>
          <w:rFonts w:ascii="Palatino Linotype" w:hAnsi="Palatino Linotype"/>
          <w:i/>
          <w:sz w:val="22"/>
          <w:szCs w:val="22"/>
        </w:rPr>
        <w:t>, así como los informes que dichas personas les entreguen sobre el uso y destino de dichos recursos;</w:t>
      </w:r>
    </w:p>
    <w:p w:rsidR="00BB0B36" w:rsidRDefault="00BB0B36" w:rsidP="00BB0B36">
      <w:pPr>
        <w:ind w:left="851" w:right="899"/>
        <w:jc w:val="both"/>
        <w:rPr>
          <w:rFonts w:ascii="Palatino Linotype" w:hAnsi="Palatino Linotype"/>
          <w:i/>
          <w:sz w:val="22"/>
          <w:szCs w:val="22"/>
        </w:rPr>
      </w:pPr>
      <w:r>
        <w:rPr>
          <w:rFonts w:ascii="Palatino Linotype" w:hAnsi="Palatino Linotype"/>
          <w:i/>
          <w:sz w:val="22"/>
          <w:szCs w:val="22"/>
        </w:rPr>
        <w:t>…”</w:t>
      </w:r>
    </w:p>
    <w:p w:rsidR="002A138F" w:rsidRPr="00BB0B36" w:rsidRDefault="002A138F" w:rsidP="00BB0B36">
      <w:pPr>
        <w:ind w:left="851" w:right="899"/>
        <w:jc w:val="both"/>
        <w:rPr>
          <w:rFonts w:ascii="Palatino Linotype" w:hAnsi="Palatino Linotype" w:cs="Arial"/>
          <w:i/>
          <w:sz w:val="22"/>
          <w:szCs w:val="22"/>
        </w:rPr>
      </w:pPr>
      <w:r>
        <w:rPr>
          <w:rFonts w:ascii="Palatino Linotype" w:hAnsi="Palatino Linotype"/>
          <w:i/>
          <w:sz w:val="22"/>
          <w:szCs w:val="22"/>
        </w:rPr>
        <w:t>(Énfasis añadido)</w:t>
      </w:r>
    </w:p>
    <w:p w:rsidR="00E569C3" w:rsidRDefault="00BB0B36" w:rsidP="008A5244">
      <w:pPr>
        <w:spacing w:before="100" w:beforeAutospacing="1" w:after="100" w:afterAutospacing="1" w:line="360" w:lineRule="auto"/>
        <w:jc w:val="both"/>
        <w:rPr>
          <w:rFonts w:ascii="Palatino Linotype" w:hAnsi="Palatino Linotype" w:cs="Arial"/>
        </w:rPr>
      </w:pPr>
      <w:r>
        <w:rPr>
          <w:rFonts w:ascii="Palatino Linotype" w:hAnsi="Palatino Linotype" w:cs="Arial"/>
        </w:rPr>
        <w:lastRenderedPageBreak/>
        <w:t xml:space="preserve">De la interpretación a los artículos transcritos se advierte que la información testada por </w:t>
      </w:r>
      <w:r>
        <w:rPr>
          <w:rFonts w:ascii="Palatino Linotype" w:hAnsi="Palatino Linotype" w:cs="Arial"/>
          <w:b/>
        </w:rPr>
        <w:t xml:space="preserve">EL SUJETO OBLIGADO </w:t>
      </w:r>
      <w:r>
        <w:rPr>
          <w:rFonts w:ascii="Palatino Linotype" w:hAnsi="Palatino Linotype" w:cs="Arial"/>
        </w:rPr>
        <w:t>en sus versiones públicas, se trata de la que por su propia y especial naturaleza debe considerarse pública pues en una ponderación de derechos, el de protección de datos es inferior al de acceso a la información pues, para la sociedad es importante conocer de qué manera los Sujetos Obligados han dispuesto de los recursos públicos y a quienes han hecho entrega de los mismos.</w:t>
      </w:r>
    </w:p>
    <w:p w:rsidR="00D62376" w:rsidRPr="00D62376" w:rsidRDefault="00D62376" w:rsidP="00D62376">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A fin de robustecer lo anterior, se debe traer a contexto lo establecido por los Lineamientos Técnicos Generales para la </w:t>
      </w:r>
      <w:r w:rsidRPr="00D62376">
        <w:rPr>
          <w:rFonts w:ascii="Palatino Linotype" w:hAnsi="Palatino Linotype" w:cs="Arial"/>
        </w:rPr>
        <w:t>Publicación</w:t>
      </w:r>
      <w:r>
        <w:rPr>
          <w:rFonts w:ascii="Palatino Linotype" w:hAnsi="Palatino Linotype" w:cs="Arial"/>
        </w:rPr>
        <w:t xml:space="preserve">, Homologación </w:t>
      </w:r>
      <w:r w:rsidRPr="00D62376">
        <w:rPr>
          <w:rFonts w:ascii="Palatino Linotype" w:hAnsi="Palatino Linotype" w:cs="Arial"/>
        </w:rPr>
        <w:t>y</w:t>
      </w:r>
      <w:r>
        <w:rPr>
          <w:rFonts w:ascii="Palatino Linotype" w:hAnsi="Palatino Linotype" w:cs="Arial"/>
        </w:rPr>
        <w:t xml:space="preserve"> Estandarización de la Información </w:t>
      </w:r>
      <w:r w:rsidRPr="00D62376">
        <w:rPr>
          <w:rFonts w:ascii="Palatino Linotype" w:hAnsi="Palatino Linotype" w:cs="Arial"/>
        </w:rPr>
        <w:t>de</w:t>
      </w:r>
      <w:r>
        <w:rPr>
          <w:rFonts w:ascii="Palatino Linotype" w:hAnsi="Palatino Linotype" w:cs="Arial"/>
        </w:rPr>
        <w:t xml:space="preserve"> </w:t>
      </w:r>
      <w:r w:rsidRPr="00D62376">
        <w:rPr>
          <w:rFonts w:ascii="Palatino Linotype" w:hAnsi="Palatino Linotype" w:cs="Arial"/>
        </w:rPr>
        <w:t>las</w:t>
      </w:r>
      <w:r>
        <w:rPr>
          <w:rFonts w:ascii="Palatino Linotype" w:hAnsi="Palatino Linotype" w:cs="Arial"/>
        </w:rPr>
        <w:t xml:space="preserve"> </w:t>
      </w:r>
      <w:r w:rsidRPr="00D62376">
        <w:rPr>
          <w:rFonts w:ascii="Palatino Linotype" w:hAnsi="Palatino Linotype" w:cs="Arial"/>
        </w:rPr>
        <w:t>Obligacion</w:t>
      </w:r>
      <w:r>
        <w:rPr>
          <w:rFonts w:ascii="Palatino Linotype" w:hAnsi="Palatino Linotype" w:cs="Arial"/>
        </w:rPr>
        <w:t xml:space="preserve">es Establecidas en el Título Quinto y en la </w:t>
      </w:r>
      <w:r w:rsidRPr="00D62376">
        <w:rPr>
          <w:rFonts w:ascii="Palatino Linotype" w:hAnsi="Palatino Linotype" w:cs="Arial"/>
        </w:rPr>
        <w:t>fracción </w:t>
      </w:r>
      <w:r>
        <w:rPr>
          <w:rFonts w:ascii="Palatino Linotype" w:hAnsi="Palatino Linotype" w:cs="Arial"/>
        </w:rPr>
        <w:t xml:space="preserve">IV </w:t>
      </w:r>
      <w:r w:rsidRPr="00D62376">
        <w:rPr>
          <w:rFonts w:ascii="Palatino Linotype" w:hAnsi="Palatino Linotype" w:cs="Arial"/>
        </w:rPr>
        <w:t>del</w:t>
      </w:r>
      <w:r>
        <w:rPr>
          <w:rFonts w:ascii="Palatino Linotype" w:hAnsi="Palatino Linotype" w:cs="Arial"/>
        </w:rPr>
        <w:t xml:space="preserve"> artículo 31 </w:t>
      </w:r>
      <w:r w:rsidRPr="00D62376">
        <w:rPr>
          <w:rFonts w:ascii="Palatino Linotype" w:hAnsi="Palatino Linotype" w:cs="Arial"/>
        </w:rPr>
        <w:t>de</w:t>
      </w:r>
      <w:r>
        <w:rPr>
          <w:rFonts w:ascii="Palatino Linotype" w:hAnsi="Palatino Linotype" w:cs="Arial"/>
        </w:rPr>
        <w:t xml:space="preserve"> </w:t>
      </w:r>
      <w:r w:rsidRPr="00D62376">
        <w:rPr>
          <w:rFonts w:ascii="Palatino Linotype" w:hAnsi="Palatino Linotype" w:cs="Arial"/>
        </w:rPr>
        <w:t>la</w:t>
      </w:r>
      <w:r>
        <w:rPr>
          <w:rFonts w:ascii="Palatino Linotype" w:hAnsi="Palatino Linotype" w:cs="Arial"/>
        </w:rPr>
        <w:t xml:space="preserve"> </w:t>
      </w:r>
      <w:r w:rsidR="000E3B46">
        <w:rPr>
          <w:rFonts w:ascii="Palatino Linotype" w:hAnsi="Palatino Linotype" w:cs="Arial"/>
        </w:rPr>
        <w:t xml:space="preserve">Ley General de Transparencia y Acceso </w:t>
      </w:r>
      <w:r w:rsidRPr="00D62376">
        <w:rPr>
          <w:rFonts w:ascii="Palatino Linotype" w:hAnsi="Palatino Linotype" w:cs="Arial"/>
        </w:rPr>
        <w:t>a</w:t>
      </w:r>
      <w:r w:rsidR="000E3B46">
        <w:rPr>
          <w:rFonts w:ascii="Palatino Linotype" w:hAnsi="Palatino Linotype" w:cs="Arial"/>
        </w:rPr>
        <w:t xml:space="preserve"> la </w:t>
      </w:r>
      <w:r w:rsidR="000E3B46" w:rsidRPr="00D62376">
        <w:rPr>
          <w:rFonts w:ascii="Palatino Linotype" w:hAnsi="Palatino Linotype" w:cs="Arial"/>
        </w:rPr>
        <w:t>Información</w:t>
      </w:r>
      <w:r w:rsidR="000E3B46">
        <w:rPr>
          <w:rFonts w:ascii="Palatino Linotype" w:hAnsi="Palatino Linotype" w:cs="Arial"/>
        </w:rPr>
        <w:t xml:space="preserve"> </w:t>
      </w:r>
      <w:r w:rsidR="000E3B46" w:rsidRPr="00D62376">
        <w:rPr>
          <w:rFonts w:ascii="Palatino Linotype" w:hAnsi="Palatino Linotype" w:cs="Arial"/>
        </w:rPr>
        <w:t>Pública</w:t>
      </w:r>
      <w:r w:rsidR="000E3B46">
        <w:rPr>
          <w:rFonts w:ascii="Palatino Linotype" w:hAnsi="Palatino Linotype" w:cs="Arial"/>
        </w:rPr>
        <w:t xml:space="preserve">, que deben de difundir </w:t>
      </w:r>
      <w:r w:rsidRPr="00D62376">
        <w:rPr>
          <w:rFonts w:ascii="Palatino Linotype" w:hAnsi="Palatino Linotype" w:cs="Arial"/>
        </w:rPr>
        <w:t>los</w:t>
      </w:r>
      <w:r w:rsidR="000E3B46">
        <w:rPr>
          <w:rFonts w:ascii="Palatino Linotype" w:hAnsi="Palatino Linotype" w:cs="Arial"/>
        </w:rPr>
        <w:t xml:space="preserve"> Sujetos Obligados en los Portales de Internet y en la Plataforma Nacional de </w:t>
      </w:r>
      <w:r w:rsidR="000E3B46" w:rsidRPr="00D62376">
        <w:rPr>
          <w:rFonts w:ascii="Palatino Linotype" w:hAnsi="Palatino Linotype" w:cs="Arial"/>
        </w:rPr>
        <w:t>Transparencia</w:t>
      </w:r>
      <w:r w:rsidR="000E3B46">
        <w:rPr>
          <w:rFonts w:ascii="Palatino Linotype" w:hAnsi="Palatino Linotype" w:cs="Arial"/>
        </w:rPr>
        <w:t>, que en su criterio 33, establecen lo siguiente:</w:t>
      </w:r>
    </w:p>
    <w:p w:rsidR="00D62376" w:rsidRDefault="000E3B46" w:rsidP="000E3B46">
      <w:pPr>
        <w:ind w:left="851" w:right="899"/>
        <w:jc w:val="both"/>
        <w:rPr>
          <w:rFonts w:ascii="Palatino Linotype" w:hAnsi="Palatino Linotype" w:cs="Arial"/>
          <w:b/>
          <w:i/>
          <w:color w:val="2F2F2F"/>
          <w:sz w:val="22"/>
          <w:szCs w:val="22"/>
          <w:shd w:val="clear" w:color="auto" w:fill="FFFFFF"/>
        </w:rPr>
      </w:pPr>
      <w:r>
        <w:rPr>
          <w:rFonts w:ascii="Palatino Linotype" w:hAnsi="Palatino Linotype" w:cs="Arial"/>
          <w:b/>
          <w:i/>
          <w:color w:val="2F2F2F"/>
          <w:sz w:val="22"/>
          <w:szCs w:val="22"/>
          <w:shd w:val="clear" w:color="auto" w:fill="FFFFFF"/>
        </w:rPr>
        <w:t>“</w:t>
      </w:r>
      <w:r w:rsidR="00D62376" w:rsidRPr="000E3B46">
        <w:rPr>
          <w:rFonts w:ascii="Palatino Linotype" w:hAnsi="Palatino Linotype" w:cs="Arial"/>
          <w:b/>
          <w:i/>
          <w:color w:val="2F2F2F"/>
          <w:sz w:val="22"/>
          <w:szCs w:val="22"/>
          <w:shd w:val="clear" w:color="auto" w:fill="FFFFFF"/>
        </w:rPr>
        <w:t>Respecto a los proveedores y su contratación se publicará:</w:t>
      </w:r>
    </w:p>
    <w:p w:rsidR="000E3B46" w:rsidRPr="000E3B46" w:rsidRDefault="000E3B46" w:rsidP="000E3B46">
      <w:pPr>
        <w:ind w:left="851" w:right="899"/>
        <w:jc w:val="both"/>
        <w:rPr>
          <w:rFonts w:ascii="Palatino Linotype" w:hAnsi="Palatino Linotype" w:cs="Arial"/>
          <w:b/>
          <w:i/>
          <w:color w:val="2F2F2F"/>
          <w:sz w:val="22"/>
          <w:szCs w:val="22"/>
          <w:shd w:val="clear" w:color="auto" w:fill="FFFFFF"/>
        </w:rPr>
      </w:pPr>
      <w:r>
        <w:rPr>
          <w:rFonts w:ascii="Palatino Linotype" w:hAnsi="Palatino Linotype" w:cs="Arial"/>
          <w:b/>
          <w:i/>
          <w:color w:val="2F2F2F"/>
          <w:sz w:val="22"/>
          <w:szCs w:val="22"/>
          <w:shd w:val="clear" w:color="auto" w:fill="FFFFFF"/>
        </w:rPr>
        <w:t>…</w:t>
      </w:r>
    </w:p>
    <w:p w:rsidR="00D62376" w:rsidRDefault="00D62376" w:rsidP="000E3B46">
      <w:pPr>
        <w:ind w:left="851" w:right="899"/>
        <w:jc w:val="both"/>
        <w:rPr>
          <w:rFonts w:ascii="Palatino Linotype" w:hAnsi="Palatino Linotype" w:cs="Arial"/>
          <w:b/>
          <w:i/>
          <w:color w:val="2F2F2F"/>
          <w:sz w:val="22"/>
          <w:szCs w:val="22"/>
          <w:shd w:val="clear" w:color="auto" w:fill="FFFFFF"/>
        </w:rPr>
      </w:pPr>
      <w:r w:rsidRPr="000E3B46">
        <w:rPr>
          <w:rFonts w:ascii="Palatino Linotype" w:hAnsi="Palatino Linotype" w:cs="Arial"/>
          <w:b/>
          <w:bCs/>
          <w:i/>
          <w:color w:val="2F2F2F"/>
          <w:sz w:val="22"/>
          <w:szCs w:val="22"/>
          <w:shd w:val="clear" w:color="auto" w:fill="FFFFFF"/>
        </w:rPr>
        <w:t>Criterio 33</w:t>
      </w:r>
      <w:r w:rsidRPr="000E3B46">
        <w:rPr>
          <w:rFonts w:ascii="Palatino Linotype" w:hAnsi="Palatino Linotype" w:cs="Arial"/>
          <w:i/>
          <w:color w:val="2F2F2F"/>
          <w:sz w:val="22"/>
          <w:szCs w:val="22"/>
          <w:shd w:val="clear" w:color="auto" w:fill="FFFFFF"/>
        </w:rPr>
        <w:t> </w:t>
      </w:r>
      <w:r w:rsidRPr="000E3B46">
        <w:rPr>
          <w:rFonts w:ascii="Palatino Linotype" w:hAnsi="Palatino Linotype" w:cs="Arial"/>
          <w:b/>
          <w:i/>
          <w:color w:val="2F2F2F"/>
          <w:sz w:val="22"/>
          <w:szCs w:val="22"/>
          <w:shd w:val="clear" w:color="auto" w:fill="FFFFFF"/>
        </w:rPr>
        <w:t>Registro Federal de Contribuyentes de la persona física</w:t>
      </w:r>
      <w:r w:rsidRPr="000E3B46">
        <w:rPr>
          <w:rFonts w:ascii="Palatino Linotype" w:hAnsi="Palatino Linotype" w:cs="Arial"/>
          <w:i/>
          <w:color w:val="2F2F2F"/>
          <w:sz w:val="22"/>
          <w:szCs w:val="22"/>
          <w:shd w:val="clear" w:color="auto" w:fill="FFFFFF"/>
        </w:rPr>
        <w:t> o moral </w:t>
      </w:r>
      <w:r w:rsidRPr="000E3B46">
        <w:rPr>
          <w:rFonts w:ascii="Palatino Linotype" w:hAnsi="Palatino Linotype" w:cs="Arial"/>
          <w:b/>
          <w:i/>
          <w:color w:val="2F2F2F"/>
          <w:sz w:val="22"/>
          <w:szCs w:val="22"/>
          <w:shd w:val="clear" w:color="auto" w:fill="FFFFFF"/>
        </w:rPr>
        <w:t>proveedora del producto o</w:t>
      </w:r>
      <w:r w:rsidR="000E3B46">
        <w:rPr>
          <w:rFonts w:ascii="Palatino Linotype" w:hAnsi="Palatino Linotype" w:cs="Arial"/>
          <w:b/>
          <w:i/>
          <w:color w:val="2F2F2F"/>
          <w:sz w:val="22"/>
          <w:szCs w:val="22"/>
          <w:shd w:val="clear" w:color="auto" w:fill="FFFFFF"/>
        </w:rPr>
        <w:t xml:space="preserve"> </w:t>
      </w:r>
      <w:r w:rsidRPr="000E3B46">
        <w:rPr>
          <w:rFonts w:ascii="Palatino Linotype" w:hAnsi="Palatino Linotype" w:cs="Arial"/>
          <w:b/>
          <w:i/>
          <w:color w:val="2F2F2F"/>
          <w:sz w:val="22"/>
          <w:szCs w:val="22"/>
          <w:shd w:val="clear" w:color="auto" w:fill="FFFFFF"/>
        </w:rPr>
        <w:t>servicio publicitario</w:t>
      </w:r>
    </w:p>
    <w:p w:rsidR="000E3B46" w:rsidRPr="000E3B46" w:rsidRDefault="000E3B46" w:rsidP="000E3B46">
      <w:pPr>
        <w:ind w:left="851" w:right="899"/>
        <w:jc w:val="both"/>
        <w:rPr>
          <w:rFonts w:ascii="Palatino Linotype" w:hAnsi="Palatino Linotype" w:cs="Arial"/>
          <w:i/>
          <w:sz w:val="22"/>
          <w:szCs w:val="22"/>
        </w:rPr>
      </w:pPr>
      <w:r>
        <w:rPr>
          <w:rFonts w:ascii="Palatino Linotype" w:hAnsi="Palatino Linotype" w:cs="Arial"/>
          <w:b/>
          <w:i/>
          <w:color w:val="2F2F2F"/>
          <w:sz w:val="22"/>
          <w:szCs w:val="22"/>
          <w:shd w:val="clear" w:color="auto" w:fill="FFFFFF"/>
        </w:rPr>
        <w:t>…”</w:t>
      </w:r>
    </w:p>
    <w:p w:rsidR="00BB0B36" w:rsidRDefault="00BB0B36" w:rsidP="008A5244">
      <w:pPr>
        <w:spacing w:before="100" w:beforeAutospacing="1" w:after="100" w:afterAutospacing="1" w:line="360" w:lineRule="auto"/>
        <w:jc w:val="both"/>
        <w:rPr>
          <w:rFonts w:ascii="Palatino Linotype" w:hAnsi="Palatino Linotype" w:cs="Arial"/>
        </w:rPr>
      </w:pPr>
      <w:r>
        <w:rPr>
          <w:rFonts w:ascii="Palatino Linotype" w:hAnsi="Palatino Linotype" w:cs="Arial"/>
        </w:rPr>
        <w:t>Razón por la que, se considera que no era procedente el ordenar dar vista al Contralor de este Órgano Garante para que en el ejercicio de sus atribuciones determinará lo conducente, pues se reitera que, el Registro Federal de Contribuyentes en este caso del proveedor de un servicio se considera un dato público.</w:t>
      </w:r>
    </w:p>
    <w:p w:rsidR="008A5244" w:rsidRPr="009F7867" w:rsidRDefault="008A5244" w:rsidP="008A5244">
      <w:pPr>
        <w:spacing w:before="100" w:beforeAutospacing="1" w:after="100" w:afterAutospacing="1" w:line="360" w:lineRule="auto"/>
        <w:jc w:val="both"/>
        <w:rPr>
          <w:rFonts w:ascii="Palatino Linotype" w:hAnsi="Palatino Linotype"/>
        </w:rPr>
      </w:pPr>
      <w:r>
        <w:rPr>
          <w:rFonts w:ascii="Palatino Linotype" w:hAnsi="Palatino Linotype"/>
        </w:rPr>
        <w:lastRenderedPageBreak/>
        <w:t xml:space="preserve">Por otra parte, </w:t>
      </w:r>
      <w:r w:rsidR="000E3B46">
        <w:rPr>
          <w:rFonts w:ascii="Palatino Linotype" w:hAnsi="Palatino Linotype"/>
        </w:rPr>
        <w:t xml:space="preserve">en </w:t>
      </w:r>
      <w:r>
        <w:rPr>
          <w:rFonts w:ascii="Palatino Linotype" w:hAnsi="Palatino Linotype" w:cs="Arial"/>
        </w:rPr>
        <w:t>el sentido en que se resolvió el recurso de revisión no encuadra con alguna de las hipótesis contenidas en los artículos 159 y 160 de la Ley General de Transparencia y Acceso a la Información Pública citados por la Ponencia Resolutora</w:t>
      </w:r>
      <w:r w:rsidRPr="001D3F57">
        <w:rPr>
          <w:rFonts w:ascii="Palatino Linotype" w:hAnsi="Palatino Linotype" w:cs="Arial"/>
        </w:rPr>
        <w:t xml:space="preserve"> </w:t>
      </w:r>
      <w:r>
        <w:rPr>
          <w:rFonts w:ascii="Palatino Linotype" w:hAnsi="Palatino Linotype" w:cs="Arial"/>
        </w:rPr>
        <w:t xml:space="preserve">en el Resolutivo Cuarto de la resolución de mérito, a fin de interponer el recurso de inconformidad ante el </w:t>
      </w:r>
      <w:r w:rsidRPr="00D642EC">
        <w:rPr>
          <w:rFonts w:ascii="Palatino Linotype" w:hAnsi="Palatino Linotype" w:cs="Arial"/>
        </w:rPr>
        <w:t>Instituto Nacional de Transparencia, Acceso a la Información y</w:t>
      </w:r>
      <w:r>
        <w:rPr>
          <w:rFonts w:ascii="Palatino Linotype" w:hAnsi="Palatino Linotype" w:cs="Arial"/>
        </w:rPr>
        <w:t xml:space="preserve"> Protección de Datos Personales.</w:t>
      </w:r>
    </w:p>
    <w:p w:rsidR="008A5244" w:rsidRDefault="008A5244" w:rsidP="008A5244">
      <w:pPr>
        <w:spacing w:line="360" w:lineRule="auto"/>
        <w:ind w:right="49"/>
        <w:jc w:val="both"/>
        <w:rPr>
          <w:rFonts w:ascii="Palatino Linotype" w:hAnsi="Palatino Linotype" w:cs="Arial"/>
        </w:rPr>
      </w:pPr>
      <w:r>
        <w:rPr>
          <w:rFonts w:ascii="Palatino Linotype" w:hAnsi="Palatino Linotype" w:cs="Arial"/>
        </w:rPr>
        <w:t>En ese contexto, conviene precisar que los artículos 159 y 160 de la Ley General, se encuentran inmersos en el Título Octavo de la Ley en cita, denominado “De los Procedimientos de Impugnación en Materia de Acceso a la Información Pública”, específicamente en el Capítulo II “Del Recurso de Inconformidad ante el Instituto”, el cual, nos hace mención de las instancias ante las cuales se podrá interponer el recurso de inconformidad y los supuestos legales en los que procede, tal y como se aprecia a continuación:</w:t>
      </w:r>
    </w:p>
    <w:p w:rsidR="008A5244" w:rsidRPr="009F7867" w:rsidRDefault="008A5244" w:rsidP="008A5244">
      <w:pPr>
        <w:ind w:left="851" w:right="899"/>
        <w:jc w:val="both"/>
        <w:rPr>
          <w:rFonts w:ascii="Palatino Linotype" w:hAnsi="Palatino Linotype"/>
          <w:i/>
          <w:sz w:val="22"/>
          <w:szCs w:val="22"/>
        </w:rPr>
      </w:pPr>
      <w:r w:rsidRPr="009F7867">
        <w:rPr>
          <w:rFonts w:ascii="Palatino Linotype" w:hAnsi="Palatino Linotype"/>
          <w:i/>
          <w:sz w:val="22"/>
          <w:szCs w:val="22"/>
        </w:rPr>
        <w:t>“</w:t>
      </w:r>
      <w:r w:rsidRPr="009F7867">
        <w:rPr>
          <w:rFonts w:ascii="Palatino Linotype" w:hAnsi="Palatino Linotype"/>
          <w:b/>
          <w:i/>
          <w:sz w:val="22"/>
          <w:szCs w:val="22"/>
        </w:rPr>
        <w:t>Artículo 159</w:t>
      </w:r>
      <w:r w:rsidRPr="009F7867">
        <w:rPr>
          <w:rFonts w:ascii="Palatino Linotype" w:hAnsi="Palatino Linotype"/>
          <w:i/>
          <w:sz w:val="22"/>
          <w:szCs w:val="22"/>
        </w:rPr>
        <w:t>. Tratándose de las resoluciones a los recursos de revisión de los Organismos garantes de las Entidades Federativas, los particulares podrán optar por acudir ante el Instituto o ante el Poder Judicial de la Federación.</w:t>
      </w:r>
    </w:p>
    <w:p w:rsidR="008A5244" w:rsidRPr="009F7867" w:rsidRDefault="008A5244" w:rsidP="008A5244">
      <w:pPr>
        <w:ind w:left="851" w:right="899"/>
        <w:jc w:val="both"/>
        <w:rPr>
          <w:rFonts w:ascii="Palatino Linotype" w:hAnsi="Palatino Linotype"/>
          <w:i/>
          <w:sz w:val="22"/>
          <w:szCs w:val="22"/>
        </w:rPr>
      </w:pPr>
    </w:p>
    <w:p w:rsidR="008A5244" w:rsidRPr="009F7867" w:rsidRDefault="008A5244" w:rsidP="008A5244">
      <w:pPr>
        <w:ind w:left="851" w:right="899"/>
        <w:jc w:val="both"/>
        <w:rPr>
          <w:rFonts w:ascii="Palatino Linotype" w:hAnsi="Palatino Linotype"/>
          <w:i/>
          <w:sz w:val="22"/>
          <w:szCs w:val="22"/>
        </w:rPr>
      </w:pPr>
      <w:r w:rsidRPr="009F7867">
        <w:rPr>
          <w:rFonts w:ascii="Palatino Linotype" w:hAnsi="Palatino Linotype"/>
          <w:b/>
          <w:i/>
          <w:sz w:val="22"/>
          <w:szCs w:val="22"/>
        </w:rPr>
        <w:t>Artículo 160</w:t>
      </w:r>
      <w:r w:rsidRPr="009F7867">
        <w:rPr>
          <w:rFonts w:ascii="Palatino Linotype" w:hAnsi="Palatino Linotype"/>
          <w:i/>
          <w:sz w:val="22"/>
          <w:szCs w:val="22"/>
        </w:rPr>
        <w:t>. El recurso de inconformidad procede contra las resoluciones emitidas por los Organismos garantes de las Entidades Federativas que:</w:t>
      </w:r>
    </w:p>
    <w:p w:rsidR="008A5244" w:rsidRPr="009F7867" w:rsidRDefault="008A5244" w:rsidP="008A5244">
      <w:pPr>
        <w:ind w:left="851" w:right="899"/>
        <w:jc w:val="both"/>
        <w:rPr>
          <w:rFonts w:ascii="Palatino Linotype" w:hAnsi="Palatino Linotype"/>
          <w:i/>
          <w:sz w:val="22"/>
          <w:szCs w:val="22"/>
        </w:rPr>
      </w:pPr>
      <w:r w:rsidRPr="009F7867">
        <w:rPr>
          <w:rFonts w:ascii="Palatino Linotype" w:hAnsi="Palatino Linotype"/>
          <w:i/>
          <w:sz w:val="22"/>
          <w:szCs w:val="22"/>
        </w:rPr>
        <w:t>I.</w:t>
      </w:r>
      <w:r w:rsidRPr="009F7867">
        <w:rPr>
          <w:rFonts w:ascii="Palatino Linotype" w:hAnsi="Palatino Linotype"/>
          <w:i/>
          <w:sz w:val="22"/>
          <w:szCs w:val="22"/>
        </w:rPr>
        <w:tab/>
        <w:t>Confirmen o modifiquen la clasificación de la información, o</w:t>
      </w:r>
    </w:p>
    <w:p w:rsidR="008A5244" w:rsidRPr="009F7867" w:rsidRDefault="008A5244" w:rsidP="008A5244">
      <w:pPr>
        <w:ind w:left="851" w:right="899"/>
        <w:jc w:val="both"/>
        <w:rPr>
          <w:rFonts w:ascii="Palatino Linotype" w:hAnsi="Palatino Linotype"/>
          <w:i/>
          <w:sz w:val="22"/>
          <w:szCs w:val="22"/>
        </w:rPr>
      </w:pPr>
      <w:r w:rsidRPr="009F7867">
        <w:rPr>
          <w:rFonts w:ascii="Palatino Linotype" w:hAnsi="Palatino Linotype"/>
          <w:i/>
          <w:sz w:val="22"/>
          <w:szCs w:val="22"/>
        </w:rPr>
        <w:t>II.</w:t>
      </w:r>
      <w:r w:rsidRPr="009F7867">
        <w:rPr>
          <w:rFonts w:ascii="Palatino Linotype" w:hAnsi="Palatino Linotype"/>
          <w:i/>
          <w:sz w:val="22"/>
          <w:szCs w:val="22"/>
        </w:rPr>
        <w:tab/>
        <w:t>Confirmen la inexistencia o negativa de información.</w:t>
      </w:r>
    </w:p>
    <w:p w:rsidR="008A5244" w:rsidRDefault="008A5244" w:rsidP="008A5244">
      <w:pPr>
        <w:ind w:left="851" w:right="899"/>
        <w:jc w:val="both"/>
        <w:rPr>
          <w:rFonts w:ascii="Palatino Linotype" w:hAnsi="Palatino Linotype"/>
          <w:i/>
          <w:sz w:val="22"/>
          <w:szCs w:val="22"/>
        </w:rPr>
      </w:pPr>
      <w:r w:rsidRPr="009F7867">
        <w:rPr>
          <w:rFonts w:ascii="Palatino Linotype" w:hAnsi="Palatino Linotype"/>
          <w:i/>
          <w:sz w:val="22"/>
          <w:szCs w:val="22"/>
        </w:rPr>
        <w:t>Se entenderá como negativa de acceso a la información la falta de resolución de los Organismos garantes de las Entidades Federativas dentro del plazo previsto para ello.”</w:t>
      </w:r>
      <w:r>
        <w:rPr>
          <w:rFonts w:ascii="Palatino Linotype" w:hAnsi="Palatino Linotype"/>
          <w:i/>
          <w:sz w:val="22"/>
          <w:szCs w:val="22"/>
        </w:rPr>
        <w:t>(Sic)</w:t>
      </w:r>
    </w:p>
    <w:p w:rsidR="00A97CDE" w:rsidRPr="00A97CDE" w:rsidRDefault="008A5244" w:rsidP="008A5244">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Así, de lo anterior se advierte que, los artículos en cita no resultan aplicables al asunto en concreto, toda vez que </w:t>
      </w:r>
      <w:r w:rsidRPr="00D9775C">
        <w:rPr>
          <w:rFonts w:ascii="Palatino Linotype" w:hAnsi="Palatino Linotype" w:cs="Arial"/>
          <w:b/>
        </w:rPr>
        <w:t>EL</w:t>
      </w:r>
      <w:r>
        <w:rPr>
          <w:rFonts w:ascii="Palatino Linotype" w:hAnsi="Palatino Linotype" w:cs="Arial"/>
        </w:rPr>
        <w:t xml:space="preserve"> </w:t>
      </w:r>
      <w:r>
        <w:rPr>
          <w:rFonts w:ascii="Palatino Linotype" w:hAnsi="Palatino Linotype" w:cs="Arial"/>
          <w:b/>
        </w:rPr>
        <w:t>SUJETO OBLIGADO</w:t>
      </w:r>
      <w:r>
        <w:rPr>
          <w:rFonts w:ascii="Palatino Linotype" w:hAnsi="Palatino Linotype" w:cs="Arial"/>
        </w:rPr>
        <w:t xml:space="preserve"> en su respuesta,</w:t>
      </w:r>
      <w:r w:rsidR="00A97CDE">
        <w:rPr>
          <w:rFonts w:ascii="Palatino Linotype" w:hAnsi="Palatino Linotype" w:cs="Arial"/>
        </w:rPr>
        <w:t xml:space="preserve"> no mencionó que </w:t>
      </w:r>
      <w:r w:rsidR="000E3B46">
        <w:rPr>
          <w:rFonts w:ascii="Palatino Linotype" w:hAnsi="Palatino Linotype" w:cs="Arial"/>
        </w:rPr>
        <w:lastRenderedPageBreak/>
        <w:t>la información se encontrara</w:t>
      </w:r>
      <w:r w:rsidR="00A97CDE">
        <w:rPr>
          <w:rFonts w:ascii="Palatino Linotype" w:hAnsi="Palatino Linotype" w:cs="Arial"/>
        </w:rPr>
        <w:t xml:space="preserve"> clasificada como reservada o confidencial</w:t>
      </w:r>
      <w:r w:rsidR="000E3B46">
        <w:rPr>
          <w:rFonts w:ascii="Palatino Linotype" w:hAnsi="Palatino Linotype" w:cs="Arial"/>
        </w:rPr>
        <w:t xml:space="preserve"> ni emitió el Acuerdo en el que declarara la inexistencia de la información</w:t>
      </w:r>
      <w:r w:rsidR="00A97CDE">
        <w:rPr>
          <w:rFonts w:ascii="Palatino Linotype" w:hAnsi="Palatino Linotype" w:cs="Arial"/>
        </w:rPr>
        <w:t xml:space="preserve">, simplemente refirió no contar con ella sin proporcionar más datos al respecto, por lo que, </w:t>
      </w:r>
      <w:r>
        <w:rPr>
          <w:rFonts w:ascii="Palatino Linotype" w:hAnsi="Palatino Linotype" w:cs="Arial"/>
        </w:rPr>
        <w:t>l</w:t>
      </w:r>
      <w:r w:rsidR="00A97CDE">
        <w:rPr>
          <w:rFonts w:ascii="Palatino Linotype" w:hAnsi="Palatino Linotype" w:cs="Arial"/>
        </w:rPr>
        <w:t xml:space="preserve">a Ponencia Resolutora, tanto en estudio como en resolutivos manifestó que para el supuesto de que la información solicitada no obrara en los archivos del  </w:t>
      </w:r>
      <w:r w:rsidR="00A97CDE">
        <w:rPr>
          <w:rFonts w:ascii="Palatino Linotype" w:hAnsi="Palatino Linotype" w:cs="Arial"/>
          <w:b/>
        </w:rPr>
        <w:t xml:space="preserve">SUEJTO OBLIGADO, </w:t>
      </w:r>
      <w:r w:rsidR="00A97CDE">
        <w:rPr>
          <w:rFonts w:ascii="Palatino Linotype" w:hAnsi="Palatino Linotype" w:cs="Arial"/>
        </w:rPr>
        <w:t xml:space="preserve">éste debería emitir mediante su Comité de Transparencia el </w:t>
      </w:r>
      <w:r w:rsidR="000E3B46">
        <w:rPr>
          <w:rFonts w:ascii="Palatino Linotype" w:hAnsi="Palatino Linotype" w:cs="Arial"/>
        </w:rPr>
        <w:t xml:space="preserve">debido </w:t>
      </w:r>
      <w:r w:rsidR="00A97CDE">
        <w:rPr>
          <w:rFonts w:ascii="Palatino Linotype" w:hAnsi="Palatino Linotype" w:cs="Arial"/>
        </w:rPr>
        <w:t>Acuerdo</w:t>
      </w:r>
      <w:r w:rsidR="000E3B46">
        <w:rPr>
          <w:rFonts w:ascii="Palatino Linotype" w:hAnsi="Palatino Linotype" w:cs="Arial"/>
        </w:rPr>
        <w:t>.</w:t>
      </w:r>
    </w:p>
    <w:p w:rsidR="008A5244" w:rsidRDefault="00A97CDE" w:rsidP="008A5244">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En ese contexto, la Ponencia Resolutora no </w:t>
      </w:r>
      <w:r w:rsidR="002A138F">
        <w:rPr>
          <w:rFonts w:ascii="Palatino Linotype" w:hAnsi="Palatino Linotype" w:cs="Arial"/>
        </w:rPr>
        <w:t>confirmó la inexistencia de la información requerida por la particular</w:t>
      </w:r>
      <w:r w:rsidR="008A5244">
        <w:rPr>
          <w:rFonts w:ascii="Palatino Linotype" w:hAnsi="Palatino Linotype" w:cs="Arial"/>
        </w:rPr>
        <w:t>; por lo que, el recurso de revisión fue resuelto conforme al plazo señalado en el numeral 181 de la Ley de Transparencia y Acceso a la Información Pública del Estado de México y Municipios; en consecuencia</w:t>
      </w:r>
      <w:r w:rsidR="000E3B46">
        <w:rPr>
          <w:rFonts w:ascii="Palatino Linotype" w:hAnsi="Palatino Linotype" w:cs="Arial"/>
        </w:rPr>
        <w:t>,</w:t>
      </w:r>
      <w:r w:rsidR="008A5244">
        <w:rPr>
          <w:rFonts w:ascii="Palatino Linotype" w:hAnsi="Palatino Linotype" w:cs="Arial"/>
        </w:rPr>
        <w:t xml:space="preserve"> no puede considerarse como negativa de la información, </w:t>
      </w:r>
      <w:r w:rsidR="000E3B46">
        <w:rPr>
          <w:rFonts w:ascii="Palatino Linotype" w:hAnsi="Palatino Linotype" w:cs="Arial"/>
        </w:rPr>
        <w:t xml:space="preserve">y </w:t>
      </w:r>
      <w:r w:rsidR="008A5244">
        <w:rPr>
          <w:rFonts w:ascii="Palatino Linotype" w:hAnsi="Palatino Linotype" w:cs="Arial"/>
        </w:rPr>
        <w:t>no se actualiza</w:t>
      </w:r>
      <w:r w:rsidR="000E3B46">
        <w:rPr>
          <w:rFonts w:ascii="Palatino Linotype" w:hAnsi="Palatino Linotype" w:cs="Arial"/>
        </w:rPr>
        <w:t xml:space="preserve"> </w:t>
      </w:r>
      <w:r w:rsidR="008A5244">
        <w:rPr>
          <w:rFonts w:ascii="Palatino Linotype" w:hAnsi="Palatino Linotype" w:cs="Arial"/>
        </w:rPr>
        <w:t>ninguno de los supuestos legales anteriormente citados.</w:t>
      </w:r>
    </w:p>
    <w:p w:rsidR="008A5244" w:rsidRDefault="008A5244" w:rsidP="008A5244">
      <w:pPr>
        <w:widowControl w:val="0"/>
        <w:autoSpaceDE w:val="0"/>
        <w:autoSpaceDN w:val="0"/>
        <w:adjustRightInd w:val="0"/>
        <w:spacing w:before="100" w:beforeAutospacing="1" w:after="100" w:afterAutospacing="1" w:line="360" w:lineRule="auto"/>
        <w:ind w:right="51"/>
        <w:jc w:val="both"/>
        <w:rPr>
          <w:rFonts w:ascii="Palatino Linotype" w:hAnsi="Palatino Linotype" w:cs="Arial"/>
        </w:rPr>
      </w:pPr>
      <w:r>
        <w:rPr>
          <w:rFonts w:ascii="Palatino Linotype" w:hAnsi="Palatino Linotype" w:cs="Arial"/>
        </w:rPr>
        <w:t xml:space="preserve">Para mayor claridad de lo aducido, se debe establecer que para confirmar o modificar la clasificación de la información primero, </w:t>
      </w:r>
      <w:r w:rsidRPr="00772978">
        <w:rPr>
          <w:rFonts w:ascii="Palatino Linotype" w:hAnsi="Palatino Linotype" w:cs="Arial"/>
          <w:b/>
        </w:rPr>
        <w:t>EL SUJETO OBLIGADO</w:t>
      </w:r>
      <w:r>
        <w:rPr>
          <w:rFonts w:ascii="Palatino Linotype" w:hAnsi="Palatino Linotype" w:cs="Arial"/>
        </w:rPr>
        <w:t xml:space="preserve"> debió haber remitido el Acuerdo del Comité de Transparencia en virtud del cual se </w:t>
      </w:r>
      <w:r w:rsidR="000E3B46">
        <w:rPr>
          <w:rFonts w:ascii="Palatino Linotype" w:hAnsi="Palatino Linotype" w:cs="Arial"/>
        </w:rPr>
        <w:t>declarara</w:t>
      </w:r>
      <w:r w:rsidR="002A138F">
        <w:rPr>
          <w:rFonts w:ascii="Palatino Linotype" w:hAnsi="Palatino Linotype" w:cs="Arial"/>
        </w:rPr>
        <w:t xml:space="preserve"> la inexistencia de la información </w:t>
      </w:r>
      <w:r>
        <w:rPr>
          <w:rFonts w:ascii="Palatino Linotype" w:hAnsi="Palatino Linotype" w:cs="Arial"/>
        </w:rPr>
        <w:t>y que derivado de la inconformidad de</w:t>
      </w:r>
      <w:r w:rsidR="002A138F">
        <w:rPr>
          <w:rFonts w:ascii="Palatino Linotype" w:hAnsi="Palatino Linotype" w:cs="Arial"/>
        </w:rPr>
        <w:t xml:space="preserve"> </w:t>
      </w:r>
      <w:r>
        <w:rPr>
          <w:rFonts w:ascii="Palatino Linotype" w:hAnsi="Palatino Linotype" w:cs="Arial"/>
        </w:rPr>
        <w:t>l</w:t>
      </w:r>
      <w:r w:rsidR="002A138F">
        <w:rPr>
          <w:rFonts w:ascii="Palatino Linotype" w:hAnsi="Palatino Linotype" w:cs="Arial"/>
        </w:rPr>
        <w:t>a hoy</w:t>
      </w:r>
      <w:r>
        <w:rPr>
          <w:rFonts w:ascii="Palatino Linotype" w:hAnsi="Palatino Linotype" w:cs="Arial"/>
        </w:rPr>
        <w:t xml:space="preserve"> </w:t>
      </w:r>
      <w:r w:rsidRPr="00E631CA">
        <w:rPr>
          <w:rFonts w:ascii="Palatino Linotype" w:hAnsi="Palatino Linotype" w:cs="Arial"/>
          <w:b/>
        </w:rPr>
        <w:t>RECURRENTE</w:t>
      </w:r>
      <w:r>
        <w:rPr>
          <w:rFonts w:ascii="Palatino Linotype" w:hAnsi="Palatino Linotype" w:cs="Arial"/>
        </w:rPr>
        <w:t xml:space="preserve"> la Ponencia Resolutora determinara que dicha </w:t>
      </w:r>
      <w:r w:rsidR="002A138F">
        <w:rPr>
          <w:rFonts w:ascii="Palatino Linotype" w:hAnsi="Palatino Linotype" w:cs="Arial"/>
        </w:rPr>
        <w:t xml:space="preserve">inexistencia </w:t>
      </w:r>
      <w:r>
        <w:rPr>
          <w:rFonts w:ascii="Palatino Linotype" w:hAnsi="Palatino Linotype" w:cs="Arial"/>
        </w:rPr>
        <w:t>es c</w:t>
      </w:r>
      <w:r w:rsidR="002A138F">
        <w:rPr>
          <w:rFonts w:ascii="Palatino Linotype" w:hAnsi="Palatino Linotype" w:cs="Arial"/>
        </w:rPr>
        <w:t>orrecta o en su caso modificara el Acuerdo emitido en su momento</w:t>
      </w:r>
      <w:r>
        <w:rPr>
          <w:rFonts w:ascii="Palatino Linotype" w:hAnsi="Palatino Linotype" w:cs="Arial"/>
        </w:rPr>
        <w:t>.</w:t>
      </w:r>
    </w:p>
    <w:p w:rsidR="008A5244" w:rsidRDefault="008A5244" w:rsidP="008A5244">
      <w:pPr>
        <w:spacing w:before="100" w:beforeAutospacing="1" w:after="100" w:afterAutospacing="1" w:line="360" w:lineRule="auto"/>
        <w:jc w:val="both"/>
        <w:rPr>
          <w:rFonts w:ascii="Palatino Linotype" w:hAnsi="Palatino Linotype" w:cs="Arial"/>
        </w:rPr>
      </w:pPr>
      <w:r w:rsidRPr="000A6958">
        <w:rPr>
          <w:rFonts w:ascii="Palatino Linotype" w:hAnsi="Palatino Linotype" w:cs="Arial"/>
        </w:rPr>
        <w:t>Es por lo anteriormen</w:t>
      </w:r>
      <w:r>
        <w:rPr>
          <w:rFonts w:ascii="Palatino Linotype" w:hAnsi="Palatino Linotype" w:cs="Arial"/>
        </w:rPr>
        <w:t>te expuesto que, la que suscrita</w:t>
      </w:r>
      <w:r w:rsidRPr="000A6958">
        <w:rPr>
          <w:rFonts w:ascii="Palatino Linotype" w:hAnsi="Palatino Linotype" w:cs="Arial"/>
        </w:rPr>
        <w:t xml:space="preserve"> emite </w:t>
      </w:r>
      <w:r w:rsidRPr="000A6958">
        <w:rPr>
          <w:rFonts w:ascii="Palatino Linotype" w:hAnsi="Palatino Linotype" w:cs="Arial"/>
          <w:b/>
        </w:rPr>
        <w:t>VOTO PARTICULAR</w:t>
      </w:r>
      <w:r w:rsidRPr="000A6958">
        <w:rPr>
          <w:rFonts w:ascii="Palatino Linotype" w:hAnsi="Palatino Linotype" w:cs="Arial"/>
        </w:rPr>
        <w:t xml:space="preserve">, pues se insiste que lo procedente </w:t>
      </w:r>
      <w:r w:rsidR="002A138F">
        <w:rPr>
          <w:rFonts w:ascii="Palatino Linotype" w:hAnsi="Palatino Linotype" w:cs="Arial"/>
        </w:rPr>
        <w:t xml:space="preserve">era que no se ordenara dar vista al Órgano de Control Interno de este Instituto pues el Registro Federal de Contribuyentes que </w:t>
      </w:r>
      <w:r w:rsidR="002A138F">
        <w:rPr>
          <w:rFonts w:ascii="Palatino Linotype" w:hAnsi="Palatino Linotype" w:cs="Arial"/>
          <w:b/>
        </w:rPr>
        <w:t xml:space="preserve">EL SUJETO </w:t>
      </w:r>
      <w:r w:rsidR="002A138F">
        <w:rPr>
          <w:rFonts w:ascii="Palatino Linotype" w:hAnsi="Palatino Linotype" w:cs="Arial"/>
          <w:b/>
        </w:rPr>
        <w:lastRenderedPageBreak/>
        <w:t xml:space="preserve">OBLIGADO </w:t>
      </w:r>
      <w:r w:rsidR="002A138F">
        <w:rPr>
          <w:rFonts w:ascii="Palatino Linotype" w:hAnsi="Palatino Linotype" w:cs="Arial"/>
        </w:rPr>
        <w:t>dejó visible en las facturas que remitió en sus respuestas, al tratarse de un proveedor, se considera una dato público</w:t>
      </w:r>
      <w:r>
        <w:rPr>
          <w:rFonts w:ascii="Palatino Linotype" w:hAnsi="Palatino Linotype" w:cs="Arial"/>
        </w:rPr>
        <w:t>, a fin de otorgar seguridad y certeza jurídica a las partes</w:t>
      </w:r>
      <w:r w:rsidR="000E3B46">
        <w:rPr>
          <w:rFonts w:ascii="Palatino Linotype" w:hAnsi="Palatino Linotype" w:cs="Arial"/>
        </w:rPr>
        <w:t xml:space="preserve"> respecto al</w:t>
      </w:r>
      <w:r w:rsidR="002A138F">
        <w:rPr>
          <w:rFonts w:ascii="Palatino Linotype" w:hAnsi="Palatino Linotype" w:cs="Arial"/>
        </w:rPr>
        <w:t xml:space="preserve"> correcto ejercicio de los recursos públicos</w:t>
      </w:r>
      <w:r>
        <w:rPr>
          <w:rFonts w:ascii="Palatino Linotype" w:hAnsi="Palatino Linotype" w:cs="Arial"/>
        </w:rPr>
        <w:t>; así como que, no se</w:t>
      </w:r>
      <w:r w:rsidR="003E2051">
        <w:rPr>
          <w:rFonts w:ascii="Palatino Linotype" w:hAnsi="Palatino Linotype" w:cs="Arial"/>
        </w:rPr>
        <w:t xml:space="preserve"> debieron invocar los artículos</w:t>
      </w:r>
      <w:r>
        <w:rPr>
          <w:rFonts w:ascii="Palatino Linotype" w:hAnsi="Palatino Linotype" w:cs="Arial"/>
        </w:rPr>
        <w:t xml:space="preserve"> 159 y 160 de la Ley General de Transparencia y Acceso a la Información Pública en el </w:t>
      </w:r>
      <w:r w:rsidR="002A138F">
        <w:rPr>
          <w:rFonts w:ascii="Palatino Linotype" w:hAnsi="Palatino Linotype" w:cs="Arial"/>
        </w:rPr>
        <w:t xml:space="preserve">Resolutivo </w:t>
      </w:r>
      <w:r w:rsidR="005721D6">
        <w:rPr>
          <w:rFonts w:ascii="Palatino Linotype" w:hAnsi="Palatino Linotype" w:cs="Arial"/>
        </w:rPr>
        <w:t xml:space="preserve">Cuarto </w:t>
      </w:r>
      <w:r>
        <w:rPr>
          <w:rFonts w:ascii="Palatino Linotype" w:hAnsi="Palatino Linotype" w:cs="Arial"/>
        </w:rPr>
        <w:t xml:space="preserve">de la resolución ya que de las constancias del expediente no se advierten actos que encuadren en los supuestos </w:t>
      </w:r>
      <w:r w:rsidR="005721D6">
        <w:rPr>
          <w:rFonts w:ascii="Palatino Linotype" w:hAnsi="Palatino Linotype" w:cs="Arial"/>
        </w:rPr>
        <w:t xml:space="preserve">de procedencia </w:t>
      </w:r>
      <w:r>
        <w:rPr>
          <w:rFonts w:ascii="Palatino Linotype" w:hAnsi="Palatino Linotype" w:cs="Arial"/>
        </w:rPr>
        <w:t>señalados.</w:t>
      </w:r>
    </w:p>
    <w:p w:rsidR="005721D6" w:rsidRDefault="005721D6" w:rsidP="008A5244">
      <w:pPr>
        <w:spacing w:before="100" w:beforeAutospacing="1" w:after="100" w:afterAutospacing="1" w:line="360" w:lineRule="auto"/>
        <w:jc w:val="both"/>
        <w:rPr>
          <w:rFonts w:ascii="Palatino Linotype" w:hAnsi="Palatino Linotype" w:cs="Arial"/>
        </w:rPr>
      </w:pPr>
    </w:p>
    <w:p w:rsidR="005721D6" w:rsidRDefault="005721D6" w:rsidP="008A5244">
      <w:pPr>
        <w:spacing w:before="100" w:beforeAutospacing="1" w:after="100" w:afterAutospacing="1" w:line="360" w:lineRule="auto"/>
        <w:jc w:val="both"/>
        <w:rPr>
          <w:rFonts w:ascii="Palatino Linotype" w:hAnsi="Palatino Linotype" w:cs="Arial"/>
        </w:rPr>
      </w:pPr>
    </w:p>
    <w:p w:rsidR="005721D6" w:rsidRDefault="005721D6" w:rsidP="008A5244">
      <w:pPr>
        <w:spacing w:before="100" w:beforeAutospacing="1" w:after="100" w:afterAutospacing="1" w:line="360" w:lineRule="auto"/>
        <w:jc w:val="both"/>
        <w:rPr>
          <w:rFonts w:ascii="Palatino Linotype" w:hAnsi="Palatino Linotype" w:cs="Arial"/>
        </w:rPr>
      </w:pPr>
    </w:p>
    <w:p w:rsidR="003E2051" w:rsidRDefault="003E2051" w:rsidP="008A5244">
      <w:pPr>
        <w:spacing w:before="100" w:beforeAutospacing="1" w:after="100" w:afterAutospacing="1" w:line="360" w:lineRule="auto"/>
        <w:jc w:val="both"/>
        <w:rPr>
          <w:rFonts w:ascii="Palatino Linotype" w:hAnsi="Palatino Linotype" w:cs="Arial"/>
        </w:rPr>
      </w:pPr>
    </w:p>
    <w:tbl>
      <w:tblPr>
        <w:tblW w:w="4393" w:type="dxa"/>
        <w:jc w:val="center"/>
        <w:tblLayout w:type="fixed"/>
        <w:tblLook w:val="04A0" w:firstRow="1" w:lastRow="0" w:firstColumn="1" w:lastColumn="0" w:noHBand="0" w:noVBand="1"/>
      </w:tblPr>
      <w:tblGrid>
        <w:gridCol w:w="4393"/>
      </w:tblGrid>
      <w:tr w:rsidR="008A5244" w:rsidRPr="001950C9" w:rsidTr="00B92307">
        <w:trPr>
          <w:jc w:val="center"/>
        </w:trPr>
        <w:tc>
          <w:tcPr>
            <w:tcW w:w="4393" w:type="dxa"/>
          </w:tcPr>
          <w:p w:rsidR="008A5244" w:rsidRPr="001950C9" w:rsidRDefault="008A5244" w:rsidP="00B92307">
            <w:pPr>
              <w:jc w:val="center"/>
              <w:rPr>
                <w:rFonts w:ascii="Palatino Linotype" w:hAnsi="Palatino Linotype"/>
                <w:b/>
              </w:rPr>
            </w:pPr>
            <w:r w:rsidRPr="001950C9">
              <w:rPr>
                <w:rFonts w:ascii="Palatino Linotype" w:hAnsi="Palatino Linotype"/>
                <w:b/>
              </w:rPr>
              <w:t>EVA ABAID YAPUR</w:t>
            </w:r>
          </w:p>
          <w:p w:rsidR="008A5244" w:rsidRDefault="008A5244" w:rsidP="003E2051">
            <w:pPr>
              <w:jc w:val="center"/>
              <w:rPr>
                <w:rFonts w:ascii="Palatino Linotype" w:hAnsi="Palatino Linotype"/>
                <w:b/>
              </w:rPr>
            </w:pPr>
            <w:r w:rsidRPr="001950C9">
              <w:rPr>
                <w:rFonts w:ascii="Palatino Linotype" w:hAnsi="Palatino Linotype"/>
                <w:b/>
              </w:rPr>
              <w:t>COMISIONADA</w:t>
            </w:r>
          </w:p>
          <w:p w:rsidR="00C9584E" w:rsidRPr="001950C9" w:rsidRDefault="00C9584E" w:rsidP="003E2051">
            <w:pPr>
              <w:jc w:val="center"/>
              <w:rPr>
                <w:rFonts w:ascii="Palatino Linotype" w:hAnsi="Palatino Linotype"/>
                <w:b/>
              </w:rPr>
            </w:pPr>
            <w:r>
              <w:rPr>
                <w:rFonts w:ascii="Palatino Linotype" w:hAnsi="Palatino Linotype"/>
                <w:b/>
              </w:rPr>
              <w:t>(RÚBRICA)</w:t>
            </w:r>
            <w:bookmarkStart w:id="0" w:name="_GoBack"/>
            <w:bookmarkEnd w:id="0"/>
          </w:p>
        </w:tc>
      </w:tr>
    </w:tbl>
    <w:p w:rsidR="008A5244" w:rsidRDefault="008A5244" w:rsidP="008A5244">
      <w:pPr>
        <w:jc w:val="both"/>
        <w:rPr>
          <w:rFonts w:ascii="Palatino Linotype" w:eastAsia="Calibri" w:hAnsi="Palatino Linotype" w:cs="Arial"/>
          <w:color w:val="000000" w:themeColor="text1"/>
          <w:sz w:val="20"/>
          <w:szCs w:val="20"/>
        </w:rPr>
      </w:pPr>
    </w:p>
    <w:p w:rsidR="005721D6" w:rsidRDefault="005721D6" w:rsidP="008A5244">
      <w:pPr>
        <w:jc w:val="both"/>
        <w:rPr>
          <w:rFonts w:ascii="Palatino Linotype" w:eastAsia="Calibri" w:hAnsi="Palatino Linotype" w:cs="Arial"/>
          <w:color w:val="000000" w:themeColor="text1"/>
          <w:sz w:val="20"/>
          <w:szCs w:val="20"/>
        </w:rPr>
      </w:pPr>
    </w:p>
    <w:p w:rsidR="005721D6" w:rsidRDefault="005721D6" w:rsidP="008A5244">
      <w:pPr>
        <w:jc w:val="both"/>
        <w:rPr>
          <w:rFonts w:ascii="Palatino Linotype" w:eastAsia="Calibri" w:hAnsi="Palatino Linotype" w:cs="Arial"/>
          <w:color w:val="000000" w:themeColor="text1"/>
          <w:sz w:val="20"/>
          <w:szCs w:val="20"/>
        </w:rPr>
      </w:pPr>
    </w:p>
    <w:p w:rsidR="005721D6" w:rsidRDefault="005721D6" w:rsidP="008A5244">
      <w:pPr>
        <w:jc w:val="both"/>
        <w:rPr>
          <w:rFonts w:ascii="Palatino Linotype" w:eastAsia="Calibri" w:hAnsi="Palatino Linotype" w:cs="Arial"/>
          <w:color w:val="000000" w:themeColor="text1"/>
          <w:sz w:val="20"/>
          <w:szCs w:val="20"/>
        </w:rPr>
      </w:pPr>
    </w:p>
    <w:p w:rsidR="005721D6" w:rsidRDefault="005721D6" w:rsidP="008A5244">
      <w:pPr>
        <w:jc w:val="both"/>
        <w:rPr>
          <w:rFonts w:ascii="Palatino Linotype" w:eastAsia="Calibri" w:hAnsi="Palatino Linotype" w:cs="Arial"/>
          <w:color w:val="000000" w:themeColor="text1"/>
          <w:sz w:val="20"/>
          <w:szCs w:val="20"/>
        </w:rPr>
      </w:pPr>
    </w:p>
    <w:p w:rsidR="005721D6" w:rsidRDefault="005721D6" w:rsidP="008A5244">
      <w:pPr>
        <w:jc w:val="both"/>
        <w:rPr>
          <w:rFonts w:ascii="Palatino Linotype" w:eastAsia="Calibri" w:hAnsi="Palatino Linotype" w:cs="Arial"/>
          <w:color w:val="000000" w:themeColor="text1"/>
          <w:sz w:val="20"/>
          <w:szCs w:val="20"/>
        </w:rPr>
      </w:pPr>
    </w:p>
    <w:p w:rsidR="005721D6" w:rsidRDefault="005721D6" w:rsidP="008A5244">
      <w:pPr>
        <w:jc w:val="both"/>
        <w:rPr>
          <w:rFonts w:ascii="Palatino Linotype" w:eastAsia="Calibri" w:hAnsi="Palatino Linotype" w:cs="Arial"/>
          <w:color w:val="000000" w:themeColor="text1"/>
          <w:sz w:val="20"/>
          <w:szCs w:val="20"/>
        </w:rPr>
      </w:pPr>
    </w:p>
    <w:p w:rsidR="008A5244" w:rsidRDefault="008A5244" w:rsidP="008A5244">
      <w:pPr>
        <w:jc w:val="both"/>
        <w:rPr>
          <w:rFonts w:ascii="Palatino Linotype" w:eastAsia="Calibri" w:hAnsi="Palatino Linotype" w:cs="Arial"/>
          <w:color w:val="000000" w:themeColor="text1"/>
          <w:sz w:val="20"/>
          <w:szCs w:val="20"/>
        </w:rPr>
      </w:pPr>
      <w:r w:rsidRPr="001950C9">
        <w:rPr>
          <w:rFonts w:ascii="Palatino Linotype" w:eastAsia="Calibri" w:hAnsi="Palatino Linotype" w:cs="Arial"/>
          <w:color w:val="000000" w:themeColor="text1"/>
          <w:sz w:val="20"/>
          <w:szCs w:val="20"/>
        </w:rPr>
        <w:t xml:space="preserve">Esta hoja corresponde al voto particular emitido en </w:t>
      </w:r>
      <w:r>
        <w:rPr>
          <w:rFonts w:ascii="Palatino Linotype" w:eastAsia="Calibri" w:hAnsi="Palatino Linotype" w:cs="Arial"/>
          <w:color w:val="000000" w:themeColor="text1"/>
          <w:sz w:val="20"/>
          <w:szCs w:val="20"/>
        </w:rPr>
        <w:t>la resolución d</w:t>
      </w:r>
      <w:r w:rsidR="002A138F">
        <w:rPr>
          <w:rFonts w:ascii="Palatino Linotype" w:eastAsia="Calibri" w:hAnsi="Palatino Linotype" w:cs="Arial"/>
          <w:color w:val="000000" w:themeColor="text1"/>
          <w:sz w:val="20"/>
          <w:szCs w:val="20"/>
        </w:rPr>
        <w:t>e los</w:t>
      </w:r>
      <w:r w:rsidRPr="001950C9">
        <w:rPr>
          <w:rFonts w:ascii="Palatino Linotype" w:eastAsia="Calibri" w:hAnsi="Palatino Linotype" w:cs="Arial"/>
          <w:color w:val="000000" w:themeColor="text1"/>
          <w:sz w:val="20"/>
          <w:szCs w:val="20"/>
        </w:rPr>
        <w:t xml:space="preserve"> recurso</w:t>
      </w:r>
      <w:r w:rsidR="002A138F">
        <w:rPr>
          <w:rFonts w:ascii="Palatino Linotype" w:eastAsia="Calibri" w:hAnsi="Palatino Linotype" w:cs="Arial"/>
          <w:color w:val="000000" w:themeColor="text1"/>
          <w:sz w:val="20"/>
          <w:szCs w:val="20"/>
        </w:rPr>
        <w:t>s</w:t>
      </w:r>
      <w:r w:rsidRPr="001950C9">
        <w:rPr>
          <w:rFonts w:ascii="Palatino Linotype" w:eastAsia="Calibri" w:hAnsi="Palatino Linotype" w:cs="Arial"/>
          <w:color w:val="000000" w:themeColor="text1"/>
          <w:sz w:val="20"/>
          <w:szCs w:val="20"/>
        </w:rPr>
        <w:t xml:space="preserve"> de revisión 0</w:t>
      </w:r>
      <w:r w:rsidR="002A138F">
        <w:rPr>
          <w:rFonts w:ascii="Palatino Linotype" w:eastAsia="Calibri" w:hAnsi="Palatino Linotype" w:cs="Arial"/>
          <w:color w:val="000000" w:themeColor="text1"/>
          <w:sz w:val="20"/>
          <w:szCs w:val="20"/>
        </w:rPr>
        <w:t>3324</w:t>
      </w:r>
      <w:r w:rsidRPr="001950C9">
        <w:rPr>
          <w:rFonts w:ascii="Palatino Linotype" w:eastAsia="Calibri" w:hAnsi="Palatino Linotype" w:cs="Arial"/>
          <w:color w:val="000000" w:themeColor="text1"/>
          <w:sz w:val="20"/>
          <w:szCs w:val="20"/>
        </w:rPr>
        <w:t>/INFOEM/IP/RR/201</w:t>
      </w:r>
      <w:r>
        <w:rPr>
          <w:rFonts w:ascii="Palatino Linotype" w:eastAsia="Calibri" w:hAnsi="Palatino Linotype" w:cs="Arial"/>
          <w:color w:val="000000" w:themeColor="text1"/>
          <w:sz w:val="20"/>
          <w:szCs w:val="20"/>
        </w:rPr>
        <w:t>8</w:t>
      </w:r>
      <w:r w:rsidR="002A138F">
        <w:rPr>
          <w:rFonts w:ascii="Palatino Linotype" w:eastAsia="Calibri" w:hAnsi="Palatino Linotype" w:cs="Arial"/>
          <w:color w:val="000000" w:themeColor="text1"/>
          <w:sz w:val="20"/>
          <w:szCs w:val="20"/>
        </w:rPr>
        <w:t xml:space="preserve"> y acumulados, aprobados el catorce de noviembre de </w:t>
      </w:r>
      <w:r>
        <w:rPr>
          <w:rFonts w:ascii="Palatino Linotype" w:eastAsia="Calibri" w:hAnsi="Palatino Linotype" w:cs="Arial"/>
          <w:color w:val="000000" w:themeColor="text1"/>
          <w:sz w:val="20"/>
          <w:szCs w:val="20"/>
        </w:rPr>
        <w:t>dos mil dieciocho</w:t>
      </w:r>
      <w:r w:rsidRPr="001950C9">
        <w:rPr>
          <w:rFonts w:ascii="Palatino Linotype" w:eastAsia="Calibri" w:hAnsi="Palatino Linotype" w:cs="Arial"/>
          <w:color w:val="000000" w:themeColor="text1"/>
          <w:sz w:val="20"/>
          <w:szCs w:val="20"/>
        </w:rPr>
        <w:t>.</w:t>
      </w:r>
      <w:r>
        <w:rPr>
          <w:rFonts w:ascii="Palatino Linotype" w:eastAsia="Calibri" w:hAnsi="Palatino Linotype" w:cs="Arial"/>
          <w:color w:val="000000" w:themeColor="text1"/>
          <w:sz w:val="20"/>
          <w:szCs w:val="20"/>
        </w:rPr>
        <w:t xml:space="preserve"> </w:t>
      </w:r>
    </w:p>
    <w:p w:rsidR="008A5244" w:rsidRPr="003E2051" w:rsidRDefault="008A5244" w:rsidP="008A5244">
      <w:pPr>
        <w:jc w:val="both"/>
        <w:rPr>
          <w:rFonts w:ascii="Palatino Linotype" w:eastAsia="Calibri" w:hAnsi="Palatino Linotype" w:cs="Arial"/>
          <w:color w:val="000000" w:themeColor="text1"/>
          <w:sz w:val="10"/>
          <w:szCs w:val="10"/>
        </w:rPr>
      </w:pPr>
    </w:p>
    <w:p w:rsidR="00C23B43" w:rsidRDefault="008A5244" w:rsidP="002A138F">
      <w:pPr>
        <w:jc w:val="both"/>
      </w:pPr>
      <w:r w:rsidRPr="00C60EC0">
        <w:rPr>
          <w:rFonts w:ascii="Palatino Linotype" w:eastAsia="Calibri" w:hAnsi="Palatino Linotype" w:cs="Arial"/>
          <w:color w:val="000000" w:themeColor="text1"/>
          <w:sz w:val="18"/>
          <w:szCs w:val="18"/>
        </w:rPr>
        <w:t>YSM/A</w:t>
      </w:r>
      <w:r>
        <w:rPr>
          <w:rFonts w:ascii="Palatino Linotype" w:eastAsia="Calibri" w:hAnsi="Palatino Linotype" w:cs="Arial"/>
          <w:color w:val="000000" w:themeColor="text1"/>
          <w:sz w:val="18"/>
          <w:szCs w:val="18"/>
        </w:rPr>
        <w:t>MV</w:t>
      </w:r>
    </w:p>
    <w:sectPr w:rsidR="00C23B43" w:rsidSect="00017A8B">
      <w:headerReference w:type="even" r:id="rId7"/>
      <w:headerReference w:type="default" r:id="rId8"/>
      <w:footerReference w:type="default" r:id="rId9"/>
      <w:headerReference w:type="first" r:id="rId10"/>
      <w:pgSz w:w="12240" w:h="15840"/>
      <w:pgMar w:top="1418" w:right="1418" w:bottom="1418" w:left="1701" w:header="709"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0E01" w:rsidRDefault="001D0E01" w:rsidP="008A5244">
      <w:r>
        <w:separator/>
      </w:r>
    </w:p>
  </w:endnote>
  <w:endnote w:type="continuationSeparator" w:id="0">
    <w:p w:rsidR="001D0E01" w:rsidRDefault="001D0E01" w:rsidP="008A5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584E" w:rsidP="00DC5C4E">
    <w:pPr>
      <w:pStyle w:val="Piedepgina"/>
      <w:tabs>
        <w:tab w:val="clear" w:pos="4252"/>
        <w:tab w:val="left" w:pos="4228"/>
      </w:tabs>
      <w:rPr>
        <w:rFonts w:ascii="Palatino Linotype" w:hAnsi="Palatino Linotype" w:cs="Arial"/>
        <w:b/>
        <w:bCs/>
        <w:sz w:val="20"/>
        <w:szCs w:val="20"/>
      </w:rPr>
    </w:pPr>
  </w:p>
  <w:p w:rsidR="00DB2B14" w:rsidRDefault="00C9584E" w:rsidP="00DC5C4E">
    <w:pPr>
      <w:pStyle w:val="Piedepgina"/>
      <w:tabs>
        <w:tab w:val="clear" w:pos="4252"/>
        <w:tab w:val="left" w:pos="4228"/>
      </w:tabs>
      <w:rPr>
        <w:rFonts w:ascii="Palatino Linotype" w:hAnsi="Palatino Linotype" w:cs="Arial"/>
        <w:b/>
        <w:bCs/>
        <w:sz w:val="20"/>
        <w:szCs w:val="20"/>
      </w:rPr>
    </w:pPr>
  </w:p>
  <w:p w:rsidR="005C7C8F" w:rsidRDefault="00C9584E" w:rsidP="00DC5C4E">
    <w:pPr>
      <w:pStyle w:val="Piedepgina"/>
      <w:tabs>
        <w:tab w:val="clear" w:pos="4252"/>
        <w:tab w:val="left" w:pos="4228"/>
      </w:tabs>
      <w:rPr>
        <w:rFonts w:ascii="Palatino Linotype" w:hAnsi="Palatino Linotype" w:cs="Arial"/>
        <w:b/>
        <w:bCs/>
        <w:sz w:val="20"/>
        <w:szCs w:val="20"/>
      </w:rPr>
    </w:pPr>
  </w:p>
  <w:p w:rsidR="005C7C8F" w:rsidRDefault="00C9584E" w:rsidP="00DC5C4E">
    <w:pPr>
      <w:pStyle w:val="Piedepgina"/>
      <w:tabs>
        <w:tab w:val="clear" w:pos="4252"/>
        <w:tab w:val="left" w:pos="4228"/>
      </w:tabs>
      <w:rPr>
        <w:rFonts w:ascii="Palatino Linotype" w:hAnsi="Palatino Linotype" w:cs="Arial"/>
        <w:b/>
        <w:bCs/>
        <w:sz w:val="20"/>
        <w:szCs w:val="20"/>
      </w:rPr>
    </w:pPr>
  </w:p>
  <w:p w:rsidR="005C7C8F" w:rsidRDefault="00C9584E" w:rsidP="00DC5C4E">
    <w:pPr>
      <w:pStyle w:val="Piedepgina"/>
      <w:rPr>
        <w:rFonts w:ascii="Palatino Linotype" w:hAnsi="Palatino Linotype" w:cs="Arial"/>
        <w:b/>
        <w:bCs/>
        <w:sz w:val="20"/>
        <w:szCs w:val="20"/>
      </w:rPr>
    </w:pPr>
  </w:p>
  <w:p w:rsidR="005C7C8F" w:rsidRPr="00F12350" w:rsidRDefault="00EA470B" w:rsidP="00DC5C4E">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C9584E">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C9584E">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5C7C8F" w:rsidRDefault="00C9584E" w:rsidP="00DC5C4E">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0E01" w:rsidRDefault="001D0E01" w:rsidP="008A5244">
      <w:r>
        <w:separator/>
      </w:r>
    </w:p>
  </w:footnote>
  <w:footnote w:type="continuationSeparator" w:id="0">
    <w:p w:rsidR="001D0E01" w:rsidRDefault="001D0E01" w:rsidP="008A52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58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49"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EA470B" w:rsidP="00DC5C4E">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67E3BDF1" wp14:editId="26FAB200">
          <wp:simplePos x="0" y="0"/>
          <wp:positionH relativeFrom="column">
            <wp:posOffset>-688975</wp:posOffset>
          </wp:positionH>
          <wp:positionV relativeFrom="paragraph">
            <wp:posOffset>-448945</wp:posOffset>
          </wp:positionV>
          <wp:extent cx="7604125" cy="9903460"/>
          <wp:effectExtent l="0" t="0" r="0" b="254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ve="http://schemas.openxmlformats.org/markup-compatibility/2006"/>
                    </a:ext>
                  </a:extLst>
                </pic:spPr>
              </pic:pic>
            </a:graphicData>
          </a:graphic>
        </wp:anchor>
      </w:drawing>
    </w:r>
  </w:p>
  <w:p w:rsidR="005C7C8F" w:rsidRDefault="00EA470B" w:rsidP="00DC5C4E">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5A2184" w:rsidRDefault="00EA470B" w:rsidP="00DC5C4E">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RECURSO</w:t>
    </w:r>
    <w:r w:rsidR="005A2184">
      <w:rPr>
        <w:rFonts w:ascii="Palatino Linotype" w:hAnsi="Palatino Linotype" w:cs="Arial"/>
        <w:sz w:val="20"/>
        <w:szCs w:val="20"/>
      </w:rPr>
      <w:t>S</w:t>
    </w:r>
    <w:r w:rsidRPr="00706042">
      <w:rPr>
        <w:rFonts w:ascii="Palatino Linotype" w:hAnsi="Palatino Linotype" w:cs="Arial"/>
        <w:sz w:val="20"/>
        <w:szCs w:val="20"/>
      </w:rPr>
      <w:t xml:space="preserve"> DE REVISIÓN </w:t>
    </w:r>
  </w:p>
  <w:p w:rsidR="005C7C8F" w:rsidRDefault="00EA470B" w:rsidP="00DC5C4E">
    <w:pPr>
      <w:pStyle w:val="Encabezado"/>
      <w:tabs>
        <w:tab w:val="clear" w:pos="4252"/>
        <w:tab w:val="clear" w:pos="8504"/>
        <w:tab w:val="left" w:pos="2326"/>
      </w:tabs>
      <w:jc w:val="right"/>
      <w:rPr>
        <w:rFonts w:ascii="Palatino Linotype" w:hAnsi="Palatino Linotype" w:cs="Arial"/>
        <w:sz w:val="20"/>
        <w:szCs w:val="20"/>
      </w:rPr>
    </w:pPr>
    <w:r>
      <w:rPr>
        <w:rFonts w:ascii="Palatino Linotype" w:hAnsi="Palatino Linotype" w:cs="Arial"/>
        <w:sz w:val="20"/>
        <w:szCs w:val="20"/>
      </w:rPr>
      <w:t>0</w:t>
    </w:r>
    <w:r w:rsidR="008A5244">
      <w:rPr>
        <w:rFonts w:ascii="Palatino Linotype" w:hAnsi="Palatino Linotype" w:cs="Arial"/>
        <w:sz w:val="20"/>
        <w:szCs w:val="20"/>
      </w:rPr>
      <w:t>3324</w:t>
    </w:r>
    <w:r>
      <w:rPr>
        <w:rFonts w:ascii="Palatino Linotype" w:hAnsi="Palatino Linotype" w:cs="Arial"/>
        <w:sz w:val="20"/>
        <w:szCs w:val="20"/>
      </w:rPr>
      <w:t>/INFOEM/IP</w:t>
    </w:r>
    <w:r w:rsidRPr="00706042">
      <w:rPr>
        <w:rFonts w:ascii="Palatino Linotype" w:hAnsi="Palatino Linotype" w:cs="Arial"/>
        <w:sz w:val="20"/>
        <w:szCs w:val="20"/>
      </w:rPr>
      <w:t>/RR/201</w:t>
    </w:r>
    <w:r>
      <w:rPr>
        <w:rFonts w:ascii="Palatino Linotype" w:hAnsi="Palatino Linotype" w:cs="Arial"/>
        <w:sz w:val="20"/>
        <w:szCs w:val="20"/>
      </w:rPr>
      <w:t>8</w:t>
    </w:r>
    <w:r w:rsidR="005A2184">
      <w:rPr>
        <w:rFonts w:ascii="Palatino Linotype" w:hAnsi="Palatino Linotype" w:cs="Arial"/>
        <w:sz w:val="20"/>
        <w:szCs w:val="20"/>
      </w:rPr>
      <w:t xml:space="preserve"> Y ACUMULADOS</w:t>
    </w:r>
  </w:p>
  <w:p w:rsidR="005C7C8F" w:rsidRDefault="00C9584E" w:rsidP="00DC5C4E">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0" type="#_x0000_t136" style="position:absolute;left:0;text-align:left;margin-left:0;margin-top:0;width:614.65pt;height:76.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C8F" w:rsidRDefault="00C9584E">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51"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8F5329"/>
    <w:multiLevelType w:val="hybridMultilevel"/>
    <w:tmpl w:val="1660DE78"/>
    <w:lvl w:ilvl="0" w:tplc="20A01E06">
      <w:start w:val="1"/>
      <w:numFmt w:val="decimal"/>
      <w:lvlText w:val="%1."/>
      <w:lvlJc w:val="left"/>
      <w:pPr>
        <w:ind w:left="4613" w:hanging="360"/>
      </w:pPr>
      <w:rPr>
        <w:rFonts w:ascii="Palatino Linotype" w:eastAsia="Times New Roman"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74B33B77"/>
    <w:multiLevelType w:val="hybridMultilevel"/>
    <w:tmpl w:val="D7705AF6"/>
    <w:lvl w:ilvl="0" w:tplc="080A000F">
      <w:start w:val="1"/>
      <w:numFmt w:val="decimal"/>
      <w:lvlText w:val="%1."/>
      <w:lvlJc w:val="left"/>
      <w:pPr>
        <w:ind w:left="5605" w:hanging="360"/>
      </w:pPr>
      <w:rPr>
        <w:rFonts w:hint="default"/>
      </w:rPr>
    </w:lvl>
    <w:lvl w:ilvl="1" w:tplc="080A0003" w:tentative="1">
      <w:start w:val="1"/>
      <w:numFmt w:val="bullet"/>
      <w:lvlText w:val="o"/>
      <w:lvlJc w:val="left"/>
      <w:pPr>
        <w:ind w:left="6325" w:hanging="360"/>
      </w:pPr>
      <w:rPr>
        <w:rFonts w:ascii="Courier New" w:hAnsi="Courier New" w:cs="Courier New" w:hint="default"/>
      </w:rPr>
    </w:lvl>
    <w:lvl w:ilvl="2" w:tplc="080A0005" w:tentative="1">
      <w:start w:val="1"/>
      <w:numFmt w:val="bullet"/>
      <w:lvlText w:val=""/>
      <w:lvlJc w:val="left"/>
      <w:pPr>
        <w:ind w:left="7045" w:hanging="360"/>
      </w:pPr>
      <w:rPr>
        <w:rFonts w:ascii="Wingdings" w:hAnsi="Wingdings" w:hint="default"/>
      </w:rPr>
    </w:lvl>
    <w:lvl w:ilvl="3" w:tplc="080A0001" w:tentative="1">
      <w:start w:val="1"/>
      <w:numFmt w:val="bullet"/>
      <w:lvlText w:val=""/>
      <w:lvlJc w:val="left"/>
      <w:pPr>
        <w:ind w:left="7765" w:hanging="360"/>
      </w:pPr>
      <w:rPr>
        <w:rFonts w:ascii="Symbol" w:hAnsi="Symbol" w:hint="default"/>
      </w:rPr>
    </w:lvl>
    <w:lvl w:ilvl="4" w:tplc="080A0003" w:tentative="1">
      <w:start w:val="1"/>
      <w:numFmt w:val="bullet"/>
      <w:lvlText w:val="o"/>
      <w:lvlJc w:val="left"/>
      <w:pPr>
        <w:ind w:left="8485" w:hanging="360"/>
      </w:pPr>
      <w:rPr>
        <w:rFonts w:ascii="Courier New" w:hAnsi="Courier New" w:cs="Courier New" w:hint="default"/>
      </w:rPr>
    </w:lvl>
    <w:lvl w:ilvl="5" w:tplc="080A0005" w:tentative="1">
      <w:start w:val="1"/>
      <w:numFmt w:val="bullet"/>
      <w:lvlText w:val=""/>
      <w:lvlJc w:val="left"/>
      <w:pPr>
        <w:ind w:left="9205" w:hanging="360"/>
      </w:pPr>
      <w:rPr>
        <w:rFonts w:ascii="Wingdings" w:hAnsi="Wingdings" w:hint="default"/>
      </w:rPr>
    </w:lvl>
    <w:lvl w:ilvl="6" w:tplc="080A0001" w:tentative="1">
      <w:start w:val="1"/>
      <w:numFmt w:val="bullet"/>
      <w:lvlText w:val=""/>
      <w:lvlJc w:val="left"/>
      <w:pPr>
        <w:ind w:left="9925" w:hanging="360"/>
      </w:pPr>
      <w:rPr>
        <w:rFonts w:ascii="Symbol" w:hAnsi="Symbol" w:hint="default"/>
      </w:rPr>
    </w:lvl>
    <w:lvl w:ilvl="7" w:tplc="080A0003" w:tentative="1">
      <w:start w:val="1"/>
      <w:numFmt w:val="bullet"/>
      <w:lvlText w:val="o"/>
      <w:lvlJc w:val="left"/>
      <w:pPr>
        <w:ind w:left="10645" w:hanging="360"/>
      </w:pPr>
      <w:rPr>
        <w:rFonts w:ascii="Courier New" w:hAnsi="Courier New" w:cs="Courier New" w:hint="default"/>
      </w:rPr>
    </w:lvl>
    <w:lvl w:ilvl="8" w:tplc="080A0005" w:tentative="1">
      <w:start w:val="1"/>
      <w:numFmt w:val="bullet"/>
      <w:lvlText w:val=""/>
      <w:lvlJc w:val="left"/>
      <w:pPr>
        <w:ind w:left="11365"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244"/>
    <w:rsid w:val="000D5276"/>
    <w:rsid w:val="000E3B46"/>
    <w:rsid w:val="000F6CCA"/>
    <w:rsid w:val="001D0E01"/>
    <w:rsid w:val="002A138F"/>
    <w:rsid w:val="003E2051"/>
    <w:rsid w:val="00434433"/>
    <w:rsid w:val="005721D6"/>
    <w:rsid w:val="005A2184"/>
    <w:rsid w:val="00682DDE"/>
    <w:rsid w:val="00750DD9"/>
    <w:rsid w:val="008A5244"/>
    <w:rsid w:val="00972BFA"/>
    <w:rsid w:val="00A6336A"/>
    <w:rsid w:val="00A97CDE"/>
    <w:rsid w:val="00BB0B36"/>
    <w:rsid w:val="00C23B43"/>
    <w:rsid w:val="00C9584E"/>
    <w:rsid w:val="00C9714C"/>
    <w:rsid w:val="00D62376"/>
    <w:rsid w:val="00E569C3"/>
    <w:rsid w:val="00EA470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877AA34D-F5E3-438A-9E74-2F730F667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244"/>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A524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8A5244"/>
    <w:rPr>
      <w:rFonts w:eastAsiaTheme="minorEastAsia"/>
      <w:sz w:val="24"/>
      <w:szCs w:val="24"/>
      <w:lang w:val="es-ES_tradnl" w:eastAsia="es-ES"/>
    </w:rPr>
  </w:style>
  <w:style w:type="paragraph" w:styleId="Piedepgina">
    <w:name w:val="footer"/>
    <w:basedOn w:val="Normal"/>
    <w:link w:val="PiedepginaCar"/>
    <w:uiPriority w:val="99"/>
    <w:unhideWhenUsed/>
    <w:rsid w:val="008A524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8A524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8A5244"/>
    <w:pPr>
      <w:ind w:left="720"/>
      <w:contextualSpacing/>
    </w:pPr>
    <w:rPr>
      <w:rFonts w:asciiTheme="minorHAnsi" w:eastAsiaTheme="minorEastAsia" w:hAnsiTheme="minorHAnsi" w:cstheme="minorBidi"/>
      <w:lang w:val="es-ES_tradnl"/>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A5244"/>
    <w:rPr>
      <w:rFonts w:eastAsiaTheme="minorEastAsia"/>
      <w:sz w:val="24"/>
      <w:szCs w:val="24"/>
      <w:lang w:val="es-ES_tradnl" w:eastAsia="es-ES"/>
    </w:rPr>
  </w:style>
  <w:style w:type="paragraph" w:customStyle="1" w:styleId="paragraph">
    <w:name w:val="paragraph"/>
    <w:basedOn w:val="Normal"/>
    <w:rsid w:val="00682DDE"/>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2A138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138F"/>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411367">
      <w:bodyDiv w:val="1"/>
      <w:marLeft w:val="0"/>
      <w:marRight w:val="0"/>
      <w:marTop w:val="0"/>
      <w:marBottom w:val="0"/>
      <w:divBdr>
        <w:top w:val="none" w:sz="0" w:space="0" w:color="auto"/>
        <w:left w:val="none" w:sz="0" w:space="0" w:color="auto"/>
        <w:bottom w:val="none" w:sz="0" w:space="0" w:color="auto"/>
        <w:right w:val="none" w:sz="0" w:space="0" w:color="auto"/>
      </w:divBdr>
      <w:divsChild>
        <w:div w:id="983583179">
          <w:marLeft w:val="0"/>
          <w:marRight w:val="0"/>
          <w:marTop w:val="0"/>
          <w:marBottom w:val="101"/>
          <w:divBdr>
            <w:top w:val="none" w:sz="0" w:space="0" w:color="auto"/>
            <w:left w:val="none" w:sz="0" w:space="0" w:color="auto"/>
            <w:bottom w:val="none" w:sz="0" w:space="0" w:color="auto"/>
            <w:right w:val="none" w:sz="0" w:space="0" w:color="auto"/>
          </w:divBdr>
        </w:div>
        <w:div w:id="2093382154">
          <w:marLeft w:val="0"/>
          <w:marRight w:val="0"/>
          <w:marTop w:val="0"/>
          <w:marBottom w:val="101"/>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9</Pages>
  <Words>2191</Words>
  <Characters>12056</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2018-11-20T20:35:00Z</cp:lastPrinted>
  <dcterms:created xsi:type="dcterms:W3CDTF">2018-11-20T16:42:00Z</dcterms:created>
  <dcterms:modified xsi:type="dcterms:W3CDTF">2019-01-11T03:13:00Z</dcterms:modified>
</cp:coreProperties>
</file>